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F1" w:rsidRPr="00DA35BA" w:rsidRDefault="000F27F1" w:rsidP="000F27F1">
      <w:pPr>
        <w:shd w:val="clear" w:color="auto" w:fill="FFFFFF"/>
        <w:ind w:right="-136"/>
        <w:rPr>
          <w:b/>
          <w:bCs/>
          <w:spacing w:val="-1"/>
          <w:sz w:val="24"/>
          <w:szCs w:val="24"/>
        </w:rPr>
      </w:pPr>
      <w:r w:rsidRPr="003B20FA">
        <w:rPr>
          <w:b/>
          <w:bCs/>
          <w:color w:val="984806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A35BA">
        <w:rPr>
          <w:b/>
          <w:bCs/>
          <w:spacing w:val="-1"/>
          <w:sz w:val="24"/>
          <w:szCs w:val="24"/>
        </w:rPr>
        <w:t>Tabuľka: 4</w:t>
      </w:r>
    </w:p>
    <w:p w:rsidR="000F27F1" w:rsidRPr="00DA35BA" w:rsidRDefault="000F27F1" w:rsidP="000F27F1">
      <w:pPr>
        <w:shd w:val="clear" w:color="auto" w:fill="FFFFFF"/>
        <w:ind w:right="-136"/>
        <w:rPr>
          <w:b/>
          <w:bCs/>
          <w:spacing w:val="-1"/>
          <w:sz w:val="24"/>
          <w:szCs w:val="24"/>
        </w:rPr>
      </w:pP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="00826C68">
        <w:rPr>
          <w:b/>
          <w:bCs/>
          <w:spacing w:val="-1"/>
          <w:sz w:val="24"/>
          <w:szCs w:val="24"/>
        </w:rPr>
        <w:t xml:space="preserve">  </w:t>
      </w:r>
      <w:r w:rsidRPr="00DA35BA">
        <w:rPr>
          <w:b/>
          <w:bCs/>
          <w:spacing w:val="-1"/>
          <w:sz w:val="24"/>
          <w:szCs w:val="24"/>
        </w:rPr>
        <w:t xml:space="preserve"> Strana: 1</w:t>
      </w:r>
    </w:p>
    <w:p w:rsidR="000F27F1" w:rsidRPr="00DA35BA" w:rsidRDefault="000F27F1" w:rsidP="000F27F1">
      <w:pPr>
        <w:shd w:val="clear" w:color="auto" w:fill="FFFFFF"/>
        <w:spacing w:before="533"/>
        <w:rPr>
          <w:b/>
          <w:bCs/>
          <w:spacing w:val="-2"/>
          <w:sz w:val="28"/>
          <w:szCs w:val="28"/>
        </w:rPr>
      </w:pPr>
      <w:r w:rsidRPr="00DA35BA">
        <w:rPr>
          <w:b/>
          <w:bCs/>
          <w:spacing w:val="-1"/>
          <w:sz w:val="28"/>
          <w:szCs w:val="28"/>
        </w:rPr>
        <w:t>Záväzné ukazovatele kapitoly za rok 201</w:t>
      </w:r>
      <w:r w:rsidR="00F01316">
        <w:rPr>
          <w:b/>
          <w:bCs/>
          <w:spacing w:val="-1"/>
          <w:sz w:val="28"/>
          <w:szCs w:val="28"/>
        </w:rPr>
        <w:t>6</w:t>
      </w:r>
    </w:p>
    <w:p w:rsidR="000F27F1" w:rsidRPr="00A8504A" w:rsidRDefault="000F27F1" w:rsidP="000F27F1">
      <w:pPr>
        <w:shd w:val="clear" w:color="auto" w:fill="FFFFFF"/>
        <w:spacing w:before="533"/>
        <w:rPr>
          <w:b/>
          <w:spacing w:val="1"/>
          <w:sz w:val="24"/>
          <w:szCs w:val="24"/>
        </w:rPr>
      </w:pPr>
      <w:r w:rsidRPr="00A8504A">
        <w:rPr>
          <w:b/>
          <w:spacing w:val="1"/>
          <w:sz w:val="24"/>
          <w:szCs w:val="24"/>
        </w:rPr>
        <w:t>Číslo a názov rozpočtovej kapitoly:</w:t>
      </w:r>
      <w:r w:rsidRPr="00A8504A">
        <w:rPr>
          <w:spacing w:val="1"/>
          <w:sz w:val="24"/>
          <w:szCs w:val="24"/>
        </w:rPr>
        <w:t xml:space="preserve"> </w:t>
      </w:r>
      <w:r w:rsidRPr="00A8504A">
        <w:rPr>
          <w:b/>
          <w:spacing w:val="1"/>
          <w:sz w:val="24"/>
          <w:szCs w:val="24"/>
        </w:rPr>
        <w:t>06 - Najvyšší súd Slovenskej republiky</w:t>
      </w:r>
    </w:p>
    <w:p w:rsidR="000F27F1" w:rsidRPr="00A8504A" w:rsidRDefault="000F27F1" w:rsidP="000F27F1">
      <w:pPr>
        <w:shd w:val="clear" w:color="auto" w:fill="FFFFFF"/>
        <w:spacing w:before="638"/>
        <w:ind w:right="-1300"/>
        <w:rPr>
          <w:b/>
          <w:bCs/>
          <w:spacing w:val="-2"/>
          <w:sz w:val="28"/>
          <w:szCs w:val="28"/>
        </w:rPr>
      </w:pPr>
    </w:p>
    <w:p w:rsidR="00AB1AB8" w:rsidRPr="000B43B8" w:rsidRDefault="000F27F1" w:rsidP="00AB1AB8">
      <w:pPr>
        <w:shd w:val="clear" w:color="auto" w:fill="FFFFFF"/>
        <w:spacing w:before="638"/>
        <w:ind w:right="-1300"/>
        <w:rPr>
          <w:sz w:val="24"/>
          <w:szCs w:val="24"/>
        </w:rPr>
      </w:pP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  <w:t xml:space="preserve">        </w:t>
      </w:r>
      <w:r w:rsidR="005C7190">
        <w:rPr>
          <w:sz w:val="24"/>
          <w:szCs w:val="24"/>
        </w:rPr>
        <w:t>v</w:t>
      </w:r>
      <w:r w:rsidR="00AB1AB8">
        <w:rPr>
          <w:sz w:val="24"/>
          <w:szCs w:val="24"/>
        </w:rPr>
        <w:t> </w:t>
      </w:r>
      <w:r w:rsidR="002C3783">
        <w:rPr>
          <w:sz w:val="24"/>
          <w:szCs w:val="24"/>
        </w:rPr>
        <w:t xml:space="preserve"> </w:t>
      </w:r>
      <w:r w:rsidR="00E750CD">
        <w:rPr>
          <w:sz w:val="24"/>
          <w:szCs w:val="24"/>
        </w:rPr>
        <w:t xml:space="preserve">tis. </w:t>
      </w:r>
      <w:r w:rsidR="00AB1AB8">
        <w:rPr>
          <w:sz w:val="24"/>
          <w:szCs w:val="24"/>
        </w:rPr>
        <w:t xml:space="preserve">eur </w:t>
      </w:r>
    </w:p>
    <w:tbl>
      <w:tblPr>
        <w:tblW w:w="8647" w:type="dxa"/>
        <w:tblInd w:w="108" w:type="dxa"/>
        <w:tblLayout w:type="fixed"/>
        <w:tblLook w:val="0000"/>
      </w:tblPr>
      <w:tblGrid>
        <w:gridCol w:w="2268"/>
        <w:gridCol w:w="1560"/>
        <w:gridCol w:w="1417"/>
        <w:gridCol w:w="1418"/>
        <w:gridCol w:w="1984"/>
      </w:tblGrid>
      <w:tr w:rsidR="00AB1AB8" w:rsidRPr="003B20FA" w:rsidTr="00FA72D0">
        <w:trPr>
          <w:trHeight w:val="2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Kategória</w:t>
            </w:r>
          </w:p>
        </w:tc>
        <w:tc>
          <w:tcPr>
            <w:tcW w:w="1560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Schválený rozpočet</w:t>
            </w:r>
          </w:p>
          <w:p w:rsidR="00AB1AB8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201</w:t>
            </w:r>
            <w:r w:rsidR="00F01316">
              <w:rPr>
                <w:b/>
                <w:sz w:val="24"/>
                <w:szCs w:val="24"/>
              </w:rPr>
              <w:t>6</w:t>
            </w:r>
          </w:p>
          <w:p w:rsidR="00FA72D0" w:rsidRPr="005C7190" w:rsidRDefault="00FA72D0" w:rsidP="00FA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Upravený rozpočet</w:t>
            </w:r>
          </w:p>
          <w:p w:rsidR="00AB1AB8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201</w:t>
            </w:r>
            <w:r w:rsidR="00F01316">
              <w:rPr>
                <w:b/>
                <w:sz w:val="24"/>
                <w:szCs w:val="24"/>
              </w:rPr>
              <w:t>6</w:t>
            </w:r>
          </w:p>
          <w:p w:rsidR="00FA72D0" w:rsidRPr="005C7190" w:rsidRDefault="00FA72D0" w:rsidP="00FA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Čerpanie</w:t>
            </w: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za</w:t>
            </w:r>
          </w:p>
          <w:p w:rsidR="00AB1AB8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rok 201</w:t>
            </w:r>
            <w:r w:rsidR="00F01316">
              <w:rPr>
                <w:b/>
                <w:sz w:val="24"/>
                <w:szCs w:val="24"/>
              </w:rPr>
              <w:t>6</w:t>
            </w:r>
          </w:p>
          <w:p w:rsidR="00FA72D0" w:rsidRPr="005C7190" w:rsidRDefault="00FA72D0" w:rsidP="00FA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auto"/>
            </w:tcBorders>
            <w:vAlign w:val="center"/>
          </w:tcPr>
          <w:p w:rsidR="00AB1AB8" w:rsidRPr="005C7190" w:rsidRDefault="00AB1AB8" w:rsidP="00FA72D0">
            <w:pPr>
              <w:shd w:val="clear" w:color="auto" w:fill="FFFFFF"/>
              <w:snapToGrid w:val="0"/>
              <w:spacing w:line="254" w:lineRule="exact"/>
              <w:ind w:left="101" w:right="125"/>
              <w:jc w:val="center"/>
              <w:rPr>
                <w:b/>
                <w:spacing w:val="-3"/>
                <w:sz w:val="24"/>
                <w:szCs w:val="24"/>
              </w:rPr>
            </w:pPr>
            <w:r w:rsidRPr="005C7190">
              <w:rPr>
                <w:b/>
                <w:spacing w:val="-3"/>
                <w:sz w:val="24"/>
                <w:szCs w:val="24"/>
              </w:rPr>
              <w:t>%</w:t>
            </w:r>
          </w:p>
          <w:p w:rsidR="00AB1AB8" w:rsidRPr="005C7190" w:rsidRDefault="00AB1AB8" w:rsidP="00FA72D0">
            <w:pPr>
              <w:shd w:val="clear" w:color="auto" w:fill="FFFFFF"/>
              <w:spacing w:line="254" w:lineRule="exact"/>
              <w:ind w:left="101" w:right="125"/>
              <w:jc w:val="center"/>
              <w:rPr>
                <w:b/>
                <w:spacing w:val="-2"/>
                <w:sz w:val="24"/>
                <w:szCs w:val="24"/>
              </w:rPr>
            </w:pPr>
            <w:r w:rsidRPr="005C7190">
              <w:rPr>
                <w:b/>
                <w:spacing w:val="-3"/>
                <w:sz w:val="24"/>
                <w:szCs w:val="24"/>
              </w:rPr>
              <w:t xml:space="preserve">čerpaniu </w:t>
            </w:r>
            <w:r w:rsidRPr="005C7190">
              <w:rPr>
                <w:b/>
                <w:spacing w:val="-4"/>
                <w:sz w:val="24"/>
                <w:szCs w:val="24"/>
              </w:rPr>
              <w:t xml:space="preserve">k upravenému </w:t>
            </w:r>
            <w:r w:rsidRPr="005C7190">
              <w:rPr>
                <w:b/>
                <w:spacing w:val="-2"/>
                <w:sz w:val="24"/>
                <w:szCs w:val="24"/>
              </w:rPr>
              <w:t>rozpočtu</w:t>
            </w:r>
          </w:p>
        </w:tc>
      </w:tr>
      <w:tr w:rsidR="00033934" w:rsidRPr="003B20FA" w:rsidTr="00033934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33934" w:rsidRDefault="00033934" w:rsidP="009111BB">
            <w:pPr>
              <w:snapToGrid w:val="0"/>
              <w:rPr>
                <w:sz w:val="24"/>
                <w:szCs w:val="24"/>
              </w:rPr>
            </w:pPr>
          </w:p>
          <w:p w:rsidR="00033934" w:rsidRDefault="00033934" w:rsidP="009111BB">
            <w:pPr>
              <w:snapToGrid w:val="0"/>
              <w:rPr>
                <w:sz w:val="24"/>
                <w:szCs w:val="24"/>
              </w:rPr>
            </w:pPr>
            <w:r w:rsidRPr="005C7190">
              <w:rPr>
                <w:sz w:val="24"/>
                <w:szCs w:val="24"/>
              </w:rPr>
              <w:t>200 - Príjmy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vAlign w:val="center"/>
          </w:tcPr>
          <w:p w:rsidR="00033934" w:rsidRPr="005C7190" w:rsidRDefault="00033934" w:rsidP="00E750C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5C719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3934" w:rsidRPr="002C3783" w:rsidRDefault="00033934" w:rsidP="00E750CD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3934" w:rsidRPr="002C3783" w:rsidRDefault="00F01316" w:rsidP="00E75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33934" w:rsidRPr="00FA72D0" w:rsidRDefault="00F01316" w:rsidP="000B4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B43B8">
              <w:rPr>
                <w:b/>
                <w:sz w:val="24"/>
                <w:szCs w:val="24"/>
              </w:rPr>
              <w:t>00</w:t>
            </w:r>
          </w:p>
        </w:tc>
      </w:tr>
      <w:tr w:rsidR="00E750CD" w:rsidRPr="000B43B8" w:rsidTr="0003393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rPr>
                <w:b/>
                <w:sz w:val="24"/>
                <w:szCs w:val="24"/>
              </w:rPr>
            </w:pPr>
          </w:p>
          <w:p w:rsidR="00AB1AB8" w:rsidRPr="005C7190" w:rsidRDefault="00AB1AB8" w:rsidP="009111BB">
            <w:pPr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Spolu výdavky</w:t>
            </w:r>
          </w:p>
          <w:p w:rsidR="00AB1AB8" w:rsidRPr="005C7190" w:rsidRDefault="00AB1AB8" w:rsidP="009111B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AB1AB8" w:rsidRPr="000B43B8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0B43B8" w:rsidRDefault="00F01316" w:rsidP="00AB1AB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B43B8">
              <w:rPr>
                <w:b/>
                <w:sz w:val="24"/>
                <w:szCs w:val="24"/>
              </w:rPr>
              <w:t xml:space="preserve">9 </w:t>
            </w:r>
            <w:r w:rsidR="00E750CD" w:rsidRPr="000B43B8">
              <w:rPr>
                <w:b/>
                <w:sz w:val="24"/>
                <w:szCs w:val="24"/>
              </w:rPr>
              <w:t xml:space="preserve">267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B43B8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0B43B8" w:rsidRDefault="00F01316" w:rsidP="00F01316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10 </w:t>
            </w:r>
            <w:r w:rsidR="00E750CD" w:rsidRPr="000B43B8"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B43B8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0B43B8" w:rsidRDefault="00F01316" w:rsidP="00EA5B71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10 </w:t>
            </w:r>
            <w:r w:rsidR="00E750CD" w:rsidRPr="000B43B8"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B1AB8" w:rsidRPr="000B43B8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0B43B8" w:rsidRDefault="00F01316" w:rsidP="00E750CD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100</w:t>
            </w:r>
          </w:p>
        </w:tc>
      </w:tr>
      <w:tr w:rsidR="00E750CD" w:rsidRPr="000B43B8" w:rsidTr="0003393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rPr>
                <w:sz w:val="24"/>
                <w:szCs w:val="24"/>
                <w:lang w:val="en-US"/>
              </w:rPr>
            </w:pPr>
            <w:r w:rsidRPr="005C7190">
              <w:rPr>
                <w:sz w:val="24"/>
                <w:szCs w:val="24"/>
              </w:rPr>
              <w:t>Z toho</w:t>
            </w:r>
            <w:r w:rsidRPr="005C719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B1AB8" w:rsidRPr="000B43B8" w:rsidRDefault="00AB1AB8" w:rsidP="009111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B43B8" w:rsidRDefault="00AB1AB8" w:rsidP="009111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B43B8" w:rsidRDefault="00AB1AB8" w:rsidP="009111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B1AB8" w:rsidRPr="000B43B8" w:rsidRDefault="00AB1AB8" w:rsidP="009111B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50CD" w:rsidRPr="000B43B8" w:rsidTr="00FA72D0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B1AB8" w:rsidRPr="005C7190" w:rsidRDefault="00AB1AB8" w:rsidP="009111BB">
            <w:pPr>
              <w:snapToGrid w:val="0"/>
              <w:rPr>
                <w:sz w:val="24"/>
                <w:szCs w:val="24"/>
              </w:rPr>
            </w:pPr>
            <w:r w:rsidRPr="005C7190">
              <w:rPr>
                <w:sz w:val="24"/>
                <w:szCs w:val="24"/>
              </w:rPr>
              <w:t>610 – Mzdy, platy, služobné príjmy a OOV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auto"/>
            </w:tcBorders>
            <w:vAlign w:val="center"/>
          </w:tcPr>
          <w:p w:rsidR="00AB1AB8" w:rsidRPr="000B43B8" w:rsidRDefault="00E750CD" w:rsidP="009111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B43B8">
              <w:rPr>
                <w:b/>
                <w:sz w:val="24"/>
                <w:szCs w:val="24"/>
                <w:lang w:val="en-US"/>
              </w:rPr>
              <w:t>6309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1AB8" w:rsidRPr="000B43B8" w:rsidRDefault="00E750CD" w:rsidP="009111BB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7192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1AB8" w:rsidRPr="000B43B8" w:rsidRDefault="00E750CD" w:rsidP="007B60CB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7192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B1AB8" w:rsidRPr="000B43B8" w:rsidRDefault="00AB1AB8" w:rsidP="00E750CD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100</w:t>
            </w:r>
          </w:p>
        </w:tc>
      </w:tr>
      <w:tr w:rsidR="00E750CD" w:rsidRPr="000B43B8" w:rsidTr="00FA72D0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700  Kapitálové výdavky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AB1AB8" w:rsidRPr="000B43B8" w:rsidRDefault="00E750CD" w:rsidP="009111BB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B43B8" w:rsidRDefault="00E750CD" w:rsidP="009111BB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B43B8" w:rsidRDefault="00E750CD" w:rsidP="009111BB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B1AB8" w:rsidRPr="000B43B8" w:rsidRDefault="00E750CD" w:rsidP="00FA72D0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100</w:t>
            </w:r>
          </w:p>
        </w:tc>
      </w:tr>
      <w:tr w:rsidR="00E750CD" w:rsidRPr="000B43B8" w:rsidTr="00F01316">
        <w:trPr>
          <w:trHeight w:val="40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1316" w:rsidRPr="005C7190" w:rsidRDefault="00F01316" w:rsidP="009111BB">
            <w:pPr>
              <w:snapToGrid w:val="0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Program – 01W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01316" w:rsidRPr="000B43B8" w:rsidRDefault="00F01316" w:rsidP="00F01316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 xml:space="preserve">9 </w:t>
            </w:r>
            <w:r w:rsidR="00E750CD" w:rsidRPr="000B43B8">
              <w:rPr>
                <w:b/>
                <w:sz w:val="24"/>
                <w:szCs w:val="24"/>
              </w:rPr>
              <w:t xml:space="preserve">267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316" w:rsidRPr="000B43B8" w:rsidRDefault="00F01316" w:rsidP="00F01316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10 </w:t>
            </w:r>
            <w:r w:rsidR="00E750CD" w:rsidRPr="000B43B8"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316" w:rsidRPr="000B43B8" w:rsidRDefault="00F01316" w:rsidP="00F01316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10 </w:t>
            </w:r>
            <w:r w:rsidR="00E750CD" w:rsidRPr="000B43B8"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01316" w:rsidRPr="000B43B8" w:rsidRDefault="00F01316" w:rsidP="00E750CD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100</w:t>
            </w:r>
          </w:p>
        </w:tc>
      </w:tr>
    </w:tbl>
    <w:p w:rsidR="000F27F1" w:rsidRDefault="005C7190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24"/>
          <w:szCs w:val="24"/>
        </w:rPr>
      </w:pPr>
      <w:r>
        <w:rPr>
          <w:b/>
          <w:bCs/>
          <w:color w:val="984806"/>
          <w:spacing w:val="-6"/>
          <w:sz w:val="24"/>
          <w:szCs w:val="24"/>
        </w:rPr>
        <w:t xml:space="preserve"> </w:t>
      </w: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5E1B3F" w:rsidRDefault="005E1B3F"/>
    <w:sectPr w:rsidR="005E1B3F" w:rsidSect="005E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F27F1"/>
    <w:rsid w:val="00033934"/>
    <w:rsid w:val="000611DC"/>
    <w:rsid w:val="00097974"/>
    <w:rsid w:val="000B43B8"/>
    <w:rsid w:val="000F27F1"/>
    <w:rsid w:val="00126630"/>
    <w:rsid w:val="0015291D"/>
    <w:rsid w:val="00165E1E"/>
    <w:rsid w:val="00202429"/>
    <w:rsid w:val="00221CB8"/>
    <w:rsid w:val="002C3783"/>
    <w:rsid w:val="00354A20"/>
    <w:rsid w:val="003A60EB"/>
    <w:rsid w:val="0043451E"/>
    <w:rsid w:val="004D76C9"/>
    <w:rsid w:val="004E40FB"/>
    <w:rsid w:val="00506906"/>
    <w:rsid w:val="005922DB"/>
    <w:rsid w:val="005C7190"/>
    <w:rsid w:val="005E1B3F"/>
    <w:rsid w:val="00635585"/>
    <w:rsid w:val="006515D8"/>
    <w:rsid w:val="00684270"/>
    <w:rsid w:val="00687199"/>
    <w:rsid w:val="00702C11"/>
    <w:rsid w:val="00783C8E"/>
    <w:rsid w:val="007B60CB"/>
    <w:rsid w:val="00824A5D"/>
    <w:rsid w:val="00826C68"/>
    <w:rsid w:val="008E599F"/>
    <w:rsid w:val="00921B9A"/>
    <w:rsid w:val="0094536A"/>
    <w:rsid w:val="00A30152"/>
    <w:rsid w:val="00A30DA0"/>
    <w:rsid w:val="00A46090"/>
    <w:rsid w:val="00A86EA4"/>
    <w:rsid w:val="00AB1AB8"/>
    <w:rsid w:val="00B86920"/>
    <w:rsid w:val="00B9651D"/>
    <w:rsid w:val="00BA34DD"/>
    <w:rsid w:val="00BC147D"/>
    <w:rsid w:val="00CA3AD2"/>
    <w:rsid w:val="00D200EF"/>
    <w:rsid w:val="00DE2EE5"/>
    <w:rsid w:val="00DE633B"/>
    <w:rsid w:val="00E21473"/>
    <w:rsid w:val="00E750CD"/>
    <w:rsid w:val="00EA5B71"/>
    <w:rsid w:val="00F01316"/>
    <w:rsid w:val="00F5039B"/>
    <w:rsid w:val="00FA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7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miriam.sedlackova</cp:lastModifiedBy>
  <cp:revision>7</cp:revision>
  <cp:lastPrinted>2016-04-06T14:42:00Z</cp:lastPrinted>
  <dcterms:created xsi:type="dcterms:W3CDTF">2015-03-19T15:18:00Z</dcterms:created>
  <dcterms:modified xsi:type="dcterms:W3CDTF">2017-03-20T16:17:00Z</dcterms:modified>
</cp:coreProperties>
</file>