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ar-SA"/>
        </w:rPr>
        <w:t>Kapitola 06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ar-SA"/>
        </w:rPr>
        <w:t>Kancelária Najvyššieho súdu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b/>
          <w:spacing w:val="-10"/>
          <w:sz w:val="26"/>
          <w:szCs w:val="26"/>
          <w:u w:val="single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spacing w:val="-10"/>
          <w:sz w:val="26"/>
          <w:szCs w:val="26"/>
          <w:u w:val="single"/>
          <w:lang w:eastAsia="ar-SA"/>
        </w:rPr>
        <w:t>Slovenskej republiky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Číslo: </w:t>
      </w:r>
      <w:proofErr w:type="spellStart"/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Spr</w:t>
      </w:r>
      <w:proofErr w:type="spellEnd"/>
      <w:r w:rsidRPr="00A22D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256/2018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74" w:lineRule="exact"/>
        <w:ind w:left="284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before="7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before="797"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32"/>
          <w:sz w:val="40"/>
          <w:szCs w:val="40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32"/>
          <w:sz w:val="40"/>
          <w:szCs w:val="40"/>
          <w:lang w:eastAsia="ar-SA"/>
        </w:rPr>
        <w:t>NÁVRH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30"/>
          <w:sz w:val="40"/>
          <w:szCs w:val="40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30"/>
          <w:sz w:val="40"/>
          <w:szCs w:val="40"/>
          <w:lang w:eastAsia="ar-SA"/>
        </w:rPr>
        <w:t xml:space="preserve">ZÁVEREČNÉHO  ÚČTU 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10"/>
          <w:sz w:val="40"/>
          <w:szCs w:val="40"/>
          <w:lang w:eastAsia="ar-SA"/>
        </w:rPr>
        <w:t>ZA  ROK  2017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PREDKLADÁ: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Ivan </w:t>
      </w:r>
      <w:proofErr w:type="spellStart"/>
      <w:r w:rsidRPr="00A22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Solej</w:t>
      </w:r>
      <w:proofErr w:type="spellEnd"/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vedúci kancelárie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/>
          <w:lang w:eastAsia="ar-SA"/>
        </w:rPr>
        <w:t>OBSAH: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1. Správa  k návrhu záverečného účtu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2. Tabuľková časť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3. Prílohy</w:t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Bratislava,  apríl 2018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6923C"/>
          <w:spacing w:val="-6"/>
          <w:sz w:val="32"/>
          <w:szCs w:val="32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ar-SA"/>
        </w:rPr>
        <w:lastRenderedPageBreak/>
        <w:t>Obsah: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ar-SA"/>
        </w:rPr>
        <w:tab/>
      </w:r>
      <w:r w:rsidRPr="00A22D1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ar-SA"/>
        </w:rPr>
        <w:tab/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3686"/>
          <w:tab w:val="left" w:pos="709"/>
          <w:tab w:val="left" w:pos="9214"/>
          <w:tab w:val="left" w:pos="9356"/>
        </w:tabs>
        <w:suppressAutoHyphens/>
        <w:autoSpaceDE w:val="0"/>
        <w:spacing w:before="422"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3"/>
          <w:sz w:val="24"/>
          <w:szCs w:val="24"/>
          <w:lang w:eastAsia="ar-SA"/>
        </w:rPr>
        <w:t>1.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Správa o hospodárení kapitoly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  <w:tab w:val="left" w:pos="851"/>
          <w:tab w:val="left" w:pos="9214"/>
          <w:tab w:val="left" w:leader="do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ab/>
        <w:t>1.1.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Súhrnná charakteristika  kapitoly a jej hospodárenia v rozpočtovom roku 2017 ..........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3                                                                       1.1.1.     Charakteristika činnosti  kapitoly...........................................................................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3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426"/>
          <w:tab w:val="left" w:pos="1418"/>
          <w:tab w:val="left" w:leader="dot" w:pos="8760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1.1.2.    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Výsledok rozpočtového hospodárenia  kapitoly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3828"/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1.1.3.     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Zhodnotenie plnenia záväzných ukazovateľov rozpočtu kapitoly .......................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6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  <w:tab w:val="left" w:pos="851"/>
          <w:tab w:val="left" w:pos="9214"/>
          <w:tab w:val="left" w:leader="do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ab/>
        <w:t>1.2.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Príjmy kapitoly.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7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leader="dot" w:pos="-5245"/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1.2.1.     Príjmy kapitoly podľa ekonomickej klasifikácie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7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leader="dot" w:pos="-5245"/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20" w:hanging="567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1.2.2.     Prostriedky prijaté z rozpočtu EÚ a iné prostriedky zo zahraničia .......................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8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leader="dot" w:pos="-5245"/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20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1.2.3.     Úpravy pôvo</w:t>
      </w:r>
      <w:bookmarkStart w:id="0" w:name="_GoBack"/>
      <w:bookmarkEnd w:id="0"/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dne schváleného rozpočtu príjmov ..................................................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8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  <w:tab w:val="left" w:pos="851"/>
          <w:tab w:val="left" w:pos="9214"/>
          <w:tab w:val="left" w:leader="dot" w:pos="9356"/>
        </w:tabs>
        <w:suppressAutoHyphens/>
        <w:autoSpaceDE w:val="0"/>
        <w:spacing w:after="0" w:line="360" w:lineRule="auto"/>
        <w:ind w:left="567" w:right="20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ab/>
        <w:t>1.3.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Výdavky kapitoly.......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8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5245"/>
          <w:tab w:val="left" w:pos="1418"/>
          <w:tab w:val="left" w:pos="8789"/>
          <w:tab w:val="left" w:pos="9214"/>
          <w:tab w:val="left" w:leader="do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1.3.1.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Výdavky kapitoly podľa ekonomickej klasifikácie ...............................................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1.3.2.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Výdavky kapitoly podľa funkčnej klasifikácie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1.3.3.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Výdavky kapitoly hradené z európskych prostriedkov a spolufinancovania k nim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1.3.4.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Úpravy pôvodne schváleného rozpočtu výdavkov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A22D10" w:rsidRPr="00A22D10" w:rsidRDefault="00A22D10" w:rsidP="00A22D10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right="2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A22D10">
        <w:rPr>
          <w:rFonts w:ascii="Times New Roman" w:eastAsia="Times New Roman" w:hAnsi="Times New Roman" w:cs="Times New Roman"/>
          <w:sz w:val="2"/>
          <w:szCs w:val="2"/>
          <w:lang w:eastAsia="ar-SA"/>
        </w:rPr>
        <w:t>27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  <w:tab w:val="left" w:pos="851"/>
          <w:tab w:val="left" w:pos="8789"/>
          <w:tab w:val="left" w:pos="9214"/>
          <w:tab w:val="left" w:leader="do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1.4.   Finančné operácie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 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A22D10" w:rsidRPr="00A22D10" w:rsidRDefault="00A22D10" w:rsidP="00A22D10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right="2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A22D10">
        <w:rPr>
          <w:rFonts w:ascii="Times New Roman" w:eastAsia="Times New Roman" w:hAnsi="Times New Roman" w:cs="Times New Roman"/>
          <w:sz w:val="2"/>
          <w:szCs w:val="2"/>
          <w:lang w:eastAsia="ar-SA"/>
        </w:rPr>
        <w:tab/>
      </w:r>
    </w:p>
    <w:p w:rsidR="00A22D10" w:rsidRPr="00A22D10" w:rsidRDefault="00A22D10" w:rsidP="00A22D10">
      <w:pPr>
        <w:widowControl w:val="0"/>
        <w:tabs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1.4.1.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Príjmové finančné operácie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1418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1.4.2. 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Výdavkové finančné operácie ................................................................................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A22D10" w:rsidRPr="00A22D10" w:rsidRDefault="00A22D10" w:rsidP="00A22D10">
      <w:pPr>
        <w:widowControl w:val="0"/>
        <w:tabs>
          <w:tab w:val="left" w:pos="9214"/>
        </w:tabs>
        <w:suppressAutoHyphens/>
        <w:autoSpaceDE w:val="0"/>
        <w:spacing w:after="0" w:line="360" w:lineRule="auto"/>
        <w:ind w:right="2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  <w:tab w:val="left" w:pos="851"/>
          <w:tab w:val="left" w:pos="9214"/>
          <w:tab w:val="left" w:pos="9356"/>
        </w:tabs>
        <w:suppressAutoHyphens/>
        <w:autoSpaceDE w:val="0"/>
        <w:spacing w:before="5" w:after="0" w:line="360" w:lineRule="auto"/>
        <w:ind w:left="567" w:right="-2" w:hanging="567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1.5.</w:t>
      </w:r>
      <w:r w:rsidRPr="00A22D1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Zhodnotenie zamestnanosti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  <w:tab w:val="left" w:pos="851"/>
          <w:tab w:val="left" w:pos="9214"/>
          <w:tab w:val="left" w:pos="9356"/>
        </w:tabs>
        <w:suppressAutoHyphens/>
        <w:autoSpaceDE w:val="0"/>
        <w:spacing w:after="0" w:line="360" w:lineRule="auto"/>
        <w:ind w:left="567" w:right="-2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ab/>
        <w:t>1.6.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Príspevkové organizácie v pôsobnosti kapitoly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9C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A22D10" w:rsidRPr="00A22D10" w:rsidRDefault="00A22D10" w:rsidP="00A22D10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num" w:pos="142"/>
          <w:tab w:val="left" w:pos="709"/>
          <w:tab w:val="left" w:pos="9214"/>
          <w:tab w:val="left" w:pos="9356"/>
        </w:tabs>
        <w:suppressAutoHyphens/>
        <w:autoSpaceDE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Tabuľková časť..............................................................................................................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</w:t>
      </w:r>
      <w:r w:rsid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A22D10" w:rsidRPr="00A22D10" w:rsidRDefault="00A22D10" w:rsidP="00A22D10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num" w:pos="142"/>
          <w:tab w:val="left" w:pos="709"/>
          <w:tab w:val="left" w:pos="9214"/>
          <w:tab w:val="left" w:pos="9356"/>
        </w:tabs>
        <w:suppressAutoHyphens/>
        <w:autoSpaceDE w:val="0"/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Prílohy 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284"/>
          <w:tab w:val="left" w:pos="709"/>
          <w:tab w:val="left" w:pos="9214"/>
          <w:tab w:val="left" w:pos="9356"/>
        </w:tabs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Príloha č. 1 Organizačná schéma kapitoly  Kancelária Najvyššieho súdu SR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284"/>
          <w:tab w:val="left" w:pos="709"/>
          <w:tab w:val="left" w:pos="9214"/>
          <w:tab w:val="left" w:pos="9356"/>
        </w:tabs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Príloha č. 2 Zhodnotenie výsledkov  interných a externých kontrol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284"/>
          <w:tab w:val="left" w:pos="709"/>
          <w:tab w:val="left" w:pos="9214"/>
          <w:tab w:val="left" w:pos="9356"/>
        </w:tabs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Príloha č. 3 Ročná monitorovacia správa</w:t>
      </w:r>
    </w:p>
    <w:p w:rsidR="00A22D10" w:rsidRPr="00A22D10" w:rsidRDefault="00A22D10" w:rsidP="00A22D10">
      <w:pPr>
        <w:widowControl w:val="0"/>
        <w:shd w:val="clear" w:color="auto" w:fill="FFFFFF"/>
        <w:tabs>
          <w:tab w:val="left" w:pos="-284"/>
          <w:tab w:val="left" w:pos="709"/>
          <w:tab w:val="left" w:pos="9214"/>
          <w:tab w:val="left" w:pos="9356"/>
        </w:tabs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Príloha č. 4 Zoznam rozpočtových opatrení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22D10" w:rsidRPr="00A22D10" w:rsidSect="00F21C64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418" w:right="1134" w:bottom="765" w:left="1134" w:header="709" w:footer="709" w:gutter="0"/>
          <w:pgNumType w:start="1"/>
          <w:cols w:space="708"/>
          <w:titlePg/>
          <w:docGrid w:linePitch="360"/>
        </w:sect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ar-SA"/>
        </w:rPr>
        <w:t>Správa o hospodárení kapitoly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numPr>
          <w:ilvl w:val="1"/>
          <w:numId w:val="4"/>
        </w:numPr>
        <w:shd w:val="clear" w:color="auto" w:fill="FFFFFF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Súhrnná charakteristika kapitoly Kancelária Najvyššieho súdu Slovenskej republiky  a jej hospodárenia v rozpočtovom roku 2017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  <w:t>Hlavnou úlohou kapitoly v roku 2017 bolo zabezpečiť z prostriedkov štátneho rozpočtu pri dodržaní rozpočtovej disciplíny a s maximálnou hospodárnosťou prostredníctvom rozhodovacej činnosti ochranu práv a  právom chránených záujmov fyzických a právnických osôb, ďalej úlohy kapitoly súvisiace s rozhodovaním o pridelení a preložení sudcov ako aj úlohy, súvisiace s predkladaním návrhov kandidátov na sudcov.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 čerpaní finančných prostriedkov bola dodržiavaná platná legislatíva, zásady v rámci jednotlivých programov, funkčnej a ekonomickej klasifikácie a záväzná účelovosť ich použitia. Kapitola je zapojená do rozpočtového informačného systému Štátnej pokladnice. 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Kapitola Najvyšší súd Slovenskej republiky (ďalej len „najvyšší súd“) vznikla ako samostatná rozpočtová kapitola v roku </w:t>
      </w: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2001. V rokoch 2002 a 2003 mala jednu podriadenú rozpočtovú organizáciu – Kanceláriu Súdnej rady Slovenskej republiky, ktorá  v roku 2004 vystupovala ako samostatná rozpočtová kapitola. </w:t>
      </w: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Od roku 2005 do roku 2015 bola znova zaradená do kapitoly  ako podriadená rozpočtová organizácia. Od 01.01.2016 vystupuje Kancelária súdnej rady Slovenskej republiky  ako samostatná rozpočtová kapitola. 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  01.01.2017  vznikla rozpočtová kapitola  Kancelária Najvyššieho súdu Slovenskej republiky (ďalej len „kancelária najvyššieho súdu“), ktorá  zabezpečuje chod najvyššieho súdu.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ab/>
      </w:r>
      <w:r w:rsidRPr="00A22D10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ar-SA"/>
        </w:rPr>
        <w:t>1.1.1. Charakteristika činnosti kapitoly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Činnosť najvyššieho súdu a kancelárie najvyššieho súdu upravuje zákon č. 757/2004 Z. z. o súdoch a o zmene a doplnení niektorých zákonov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Najvyšší súd, ako súd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odvolací i dovolací, má celoštátnu pôsobnosť, ktorá znamená nápad vecí zo všetkých </w:t>
      </w: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súdov nižších stupňov. Konal a rozhodoval o riadnych opravných prostriedkoch proti rozhodnutiam krajských súdov a Špecializovaného trestného súdu, o mimoriadnych opravných prostriedkoch proti rozhodnutiam okresných súdov, krajských súdov, Špecializovaného trestného súdu a najvyššieho súdu  v prípadoch, ak tak ustanovujú predpisy o konaní pred súdmi. Rozhodoval aj spory o vecnej príslušnosti medzi súdmi a orgánmi verejnej správy, o odňatí a prikázaní veci inému ako príslušnému súdu vo veciach, v ktorých tak ustanovujú osobitné procesné predpisy ako aj v iných veciach, ak to ustanovoval zákon alebo medzinárodná zmluva. Najvyšší súd preskúmaval aj rozhodnutia orgánov verejnej moci v zákonom stanovených prípadoch (podľa piatej časti Občianskeho súdneho poriadku upravujúcej správne súdnictvo).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Spomínaná rozhodovacia činnosť tvorí základ činnosti (tzv. bežnú rozhodovaciu činnosť) najvyššieho súdu, prostredníctvom ktorej poskytol ochranu právam a oprávneným </w:t>
      </w: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>záujmom účastníkov, chránil ústavné a zákonné práva fyzických a právnických osôb pred nezákonnými rozhodnutiami, postupmi a zásahmi orgánov verejnej správy a významným spôsobom sa podieľal na náležitom zisťovaní trestných činov a na tom, aby ich páchatelia boli potrestaní. Najvyšší súd  (vo všeobecnosti) vplýval aj na dodržiavanie zákonov.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Najvyšší súd  vydáva  Zbierku stanovísk najvyššieho súdu a rozhodnutí súdov SR, od roku 2011  v elektronickej podobe, ktorá je bezplatne poskytovaná prostredníctvom webového sídla  najvyššieho súdu.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Konkrétne množstvo veci vybavených v jednotlivých kolégiách najvyššieho súdu   v roku 2017 vyplýva z nasledovných tabuliek: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500"/>
      </w:tblGrid>
      <w:tr w:rsidR="00A22D10" w:rsidRPr="00A22D10" w:rsidTr="00F21C64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Počet vecí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Spolu všetky agendy NS</w:t>
            </w:r>
          </w:p>
        </w:tc>
      </w:tr>
      <w:tr w:rsidR="00A22D10" w:rsidRPr="00A22D10" w:rsidTr="00F21C64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prevzaté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8 786</w:t>
            </w:r>
          </w:p>
        </w:tc>
      </w:tr>
      <w:tr w:rsidR="00A22D10" w:rsidRPr="00A22D10" w:rsidTr="00F21C64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došlé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11 565</w:t>
            </w:r>
          </w:p>
        </w:tc>
      </w:tr>
      <w:tr w:rsidR="00A22D10" w:rsidRPr="00A22D10" w:rsidTr="00F21C64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vybavené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14 491</w:t>
            </w:r>
          </w:p>
        </w:tc>
      </w:tr>
      <w:tr w:rsidR="00A22D10" w:rsidRPr="00A22D10" w:rsidTr="00F21C64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nevybavené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A22D10">
              <w:rPr>
                <w:rFonts w:ascii="Calibri" w:eastAsia="Times New Roman" w:hAnsi="Calibri" w:cs="Times New Roman"/>
                <w:b/>
                <w:bCs/>
                <w:lang w:eastAsia="sk-SK"/>
              </w:rPr>
              <w:t>5 860</w:t>
            </w:r>
          </w:p>
        </w:tc>
      </w:tr>
    </w:tbl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sectPr w:rsidR="00A22D10" w:rsidRPr="00A22D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64"/>
        <w:gridCol w:w="664"/>
        <w:gridCol w:w="593"/>
        <w:gridCol w:w="663"/>
        <w:gridCol w:w="812"/>
        <w:gridCol w:w="430"/>
        <w:gridCol w:w="578"/>
        <w:gridCol w:w="798"/>
        <w:gridCol w:w="508"/>
        <w:gridCol w:w="364"/>
        <w:gridCol w:w="432"/>
        <w:gridCol w:w="567"/>
        <w:gridCol w:w="785"/>
        <w:gridCol w:w="738"/>
        <w:gridCol w:w="364"/>
        <w:gridCol w:w="565"/>
        <w:gridCol w:w="664"/>
        <w:gridCol w:w="569"/>
        <w:gridCol w:w="705"/>
        <w:gridCol w:w="378"/>
        <w:gridCol w:w="447"/>
        <w:gridCol w:w="508"/>
        <w:gridCol w:w="653"/>
      </w:tblGrid>
      <w:tr w:rsidR="00A22D10" w:rsidRPr="00A22D10" w:rsidTr="00F21C64">
        <w:trPr>
          <w:trHeight w:val="31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Počet vecí</w:t>
            </w:r>
          </w:p>
        </w:tc>
        <w:tc>
          <w:tcPr>
            <w:tcW w:w="1246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Agendy občianskoprávneho kolégia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A22D10" w:rsidRPr="00A22D10" w:rsidTr="00F21C64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Co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Cdo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CdoV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MCdo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MCdoV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Uro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UroV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MUroV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Ndc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Nc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CoE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ECdo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EMCdo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CdoGP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Vcdo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Xcdo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XCoE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XECdo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Cpj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Nco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Ncv</w:t>
            </w:r>
            <w:proofErr w:type="spellEnd"/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prevzaté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1248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2656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193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4307</w:t>
            </w: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došlé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1775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273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3153</w:t>
            </w: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vybavené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2146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2979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163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273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6211</w:t>
            </w:r>
          </w:p>
        </w:tc>
      </w:tr>
      <w:tr w:rsidR="00A22D10" w:rsidRPr="00A22D10" w:rsidTr="00F21C6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nevybavené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1249</w:t>
            </w:r>
          </w:p>
        </w:tc>
      </w:tr>
    </w:tbl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</w:pPr>
    </w:p>
    <w:tbl>
      <w:tblPr>
        <w:tblW w:w="11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75"/>
        <w:gridCol w:w="552"/>
        <w:gridCol w:w="662"/>
        <w:gridCol w:w="693"/>
        <w:gridCol w:w="704"/>
        <w:gridCol w:w="549"/>
        <w:gridCol w:w="543"/>
        <w:gridCol w:w="610"/>
        <w:gridCol w:w="793"/>
        <w:gridCol w:w="672"/>
        <w:gridCol w:w="642"/>
        <w:gridCol w:w="626"/>
        <w:gridCol w:w="643"/>
        <w:gridCol w:w="452"/>
        <w:gridCol w:w="524"/>
        <w:gridCol w:w="501"/>
        <w:gridCol w:w="680"/>
      </w:tblGrid>
      <w:tr w:rsidR="00A22D10" w:rsidRPr="00A22D10" w:rsidTr="00F21C64">
        <w:trPr>
          <w:trHeight w:val="31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vecí</w:t>
            </w:r>
          </w:p>
        </w:tc>
        <w:tc>
          <w:tcPr>
            <w:tcW w:w="944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Agendy obchodnoprávneho kolégia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A22D10" w:rsidRPr="00A22D10" w:rsidTr="00F21C64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Obo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Obdo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ObdoV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Mobdo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MobdV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Ndob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OboE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Oboer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MOboer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ObdoG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XEObd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Xobdo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XOboE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Nob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Nobs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Obpj</w:t>
            </w:r>
            <w:proofErr w:type="spellEnd"/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prevzaté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359</w:t>
            </w: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došlé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3703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4773</w:t>
            </w: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vybavené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3327</w:t>
            </w:r>
          </w:p>
        </w:tc>
      </w:tr>
      <w:tr w:rsidR="00A22D10" w:rsidRPr="00A22D10" w:rsidTr="00F21C6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nevybavené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1353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1805</w:t>
            </w:r>
          </w:p>
        </w:tc>
      </w:tr>
    </w:tbl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</w:pPr>
      <w:r w:rsidRPr="00A22D10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  <w:t xml:space="preserve"> </w:t>
      </w:r>
    </w:p>
    <w:tbl>
      <w:tblPr>
        <w:tblW w:w="102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23"/>
        <w:gridCol w:w="507"/>
        <w:gridCol w:w="623"/>
        <w:gridCol w:w="715"/>
        <w:gridCol w:w="433"/>
        <w:gridCol w:w="623"/>
        <w:gridCol w:w="633"/>
        <w:gridCol w:w="860"/>
        <w:gridCol w:w="478"/>
        <w:gridCol w:w="756"/>
        <w:gridCol w:w="478"/>
        <w:gridCol w:w="623"/>
        <w:gridCol w:w="483"/>
        <w:gridCol w:w="447"/>
        <w:gridCol w:w="680"/>
      </w:tblGrid>
      <w:tr w:rsidR="00A22D10" w:rsidRPr="00A22D10" w:rsidTr="00F21C64">
        <w:trPr>
          <w:trHeight w:val="31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vecí</w:t>
            </w:r>
          </w:p>
        </w:tc>
        <w:tc>
          <w:tcPr>
            <w:tcW w:w="828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Agendy trestnoprávneho kolégia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A22D10" w:rsidRPr="00A22D10" w:rsidTr="00F21C64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Ndt</w:t>
            </w:r>
            <w:proofErr w:type="spellEnd"/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Ntv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Tdo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TdoV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To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Tost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Urto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TdoVS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Tpr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Urtos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Tor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Nts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Tpj</w:t>
            </w:r>
            <w:proofErr w:type="spellEnd"/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prevzaté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19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14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308</w:t>
            </w: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došlé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391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11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67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1384</w:t>
            </w:r>
          </w:p>
        </w:tc>
      </w:tr>
      <w:tr w:rsidR="00A22D10" w:rsidRPr="00A22D10" w:rsidTr="00F21C6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vybavené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382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11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67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1418</w:t>
            </w:r>
          </w:p>
        </w:tc>
      </w:tr>
      <w:tr w:rsidR="00A22D10" w:rsidRPr="00A22D10" w:rsidTr="00F21C6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nevybavené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23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lang w:eastAsia="sk-SK"/>
              </w:rPr>
              <w:t>274</w:t>
            </w:r>
          </w:p>
        </w:tc>
      </w:tr>
    </w:tbl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</w:pPr>
      <w:r w:rsidRPr="00A22D10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  <w:t xml:space="preserve">                  </w:t>
      </w:r>
    </w:p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</w:pPr>
      <w:r w:rsidRPr="00A22D10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  <w:t xml:space="preserve">    </w:t>
      </w:r>
    </w:p>
    <w:tbl>
      <w:tblPr>
        <w:tblW w:w="1521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5"/>
        <w:gridCol w:w="433"/>
        <w:gridCol w:w="475"/>
        <w:gridCol w:w="332"/>
        <w:gridCol w:w="419"/>
        <w:gridCol w:w="364"/>
        <w:gridCol w:w="386"/>
        <w:gridCol w:w="384"/>
        <w:gridCol w:w="318"/>
        <w:gridCol w:w="366"/>
        <w:gridCol w:w="386"/>
        <w:gridCol w:w="364"/>
        <w:gridCol w:w="364"/>
        <w:gridCol w:w="386"/>
        <w:gridCol w:w="472"/>
        <w:gridCol w:w="475"/>
        <w:gridCol w:w="384"/>
        <w:gridCol w:w="394"/>
        <w:gridCol w:w="367"/>
        <w:gridCol w:w="438"/>
        <w:gridCol w:w="399"/>
        <w:gridCol w:w="428"/>
        <w:gridCol w:w="384"/>
        <w:gridCol w:w="357"/>
        <w:gridCol w:w="384"/>
        <w:gridCol w:w="394"/>
        <w:gridCol w:w="384"/>
        <w:gridCol w:w="364"/>
        <w:gridCol w:w="384"/>
        <w:gridCol w:w="384"/>
        <w:gridCol w:w="407"/>
        <w:gridCol w:w="424"/>
        <w:gridCol w:w="434"/>
        <w:gridCol w:w="399"/>
        <w:gridCol w:w="368"/>
        <w:gridCol w:w="606"/>
      </w:tblGrid>
      <w:tr w:rsidR="00A22D10" w:rsidRPr="00A22D10" w:rsidTr="00E44D68">
        <w:trPr>
          <w:trHeight w:val="225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vecí</w:t>
            </w:r>
          </w:p>
        </w:tc>
        <w:tc>
          <w:tcPr>
            <w:tcW w:w="13786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Agendy správneho kolégia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E44D68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22D10" w:rsidRPr="00E44D68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44D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Spolu </w:t>
            </w:r>
          </w:p>
        </w:tc>
      </w:tr>
      <w:tr w:rsidR="00A22D10" w:rsidRPr="00A22D10" w:rsidTr="00E44D68">
        <w:trPr>
          <w:trHeight w:val="106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Asan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Komp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Nds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Ndz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Sdo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Sk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Snr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Spv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Svzn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Sza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Szak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Sža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Sžak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Sžf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Sžfk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Sžh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Sžhk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Sžhpu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Sži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Sžik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Sžk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Sžnz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Sžo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Sžp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Sžr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Sžrk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Sžsk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Sžso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Sžz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Usam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Volpp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Ns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Snj</w:t>
            </w:r>
            <w:proofErr w:type="spellEnd"/>
          </w:p>
        </w:tc>
        <w:tc>
          <w:tcPr>
            <w:tcW w:w="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D10" w:rsidRPr="00E44D68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22D10" w:rsidRPr="00A22D10" w:rsidTr="00E44D68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prevzaté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677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E44D68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4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3812</w:t>
            </w:r>
          </w:p>
        </w:tc>
      </w:tr>
      <w:tr w:rsidR="00A22D10" w:rsidRPr="00A22D10" w:rsidTr="00E44D68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došlé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E44D68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4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2255</w:t>
            </w:r>
          </w:p>
        </w:tc>
      </w:tr>
      <w:tr w:rsidR="00A22D10" w:rsidRPr="00A22D10" w:rsidTr="00E44D68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vybavené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97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86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E44D68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4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3535</w:t>
            </w:r>
          </w:p>
        </w:tc>
      </w:tr>
      <w:tr w:rsidR="00A22D10" w:rsidRPr="00A22D10" w:rsidTr="00E44D68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nevybavené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D10" w:rsidRPr="00A22D10" w:rsidRDefault="00A22D10" w:rsidP="00A2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10" w:rsidRPr="00A22D10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2D1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D10" w:rsidRPr="00E44D68" w:rsidRDefault="00A22D10" w:rsidP="00A2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4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2532</w:t>
            </w:r>
          </w:p>
        </w:tc>
      </w:tr>
    </w:tbl>
    <w:p w:rsidR="00A22D10" w:rsidRP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  <w:sectPr w:rsidR="00A22D10" w:rsidRPr="00A22D1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pgSz w:w="16837" w:h="11905" w:orient="landscape"/>
          <w:pgMar w:top="1418" w:right="0" w:bottom="1418" w:left="907" w:header="709" w:footer="709" w:gutter="0"/>
          <w:cols w:space="708"/>
          <w:docGrid w:linePitch="360"/>
        </w:sect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Z analýzy o počte a stave vybavovania vecí v jednotlivých agendách Najvyššieho súdu od roku 2010 do 1. 11. 2014 vyplývalo,  že v priebehu týchto rokov došlo k enormnému nápadu vecí predovšetkým na občianskoprávnom kolégiu. Počet napadnutých vecí na tomto kolégiu sa postupne zvyšoval tak, že v roku 2010 predstavoval </w:t>
      </w:r>
      <w:r w:rsidRPr="00A22D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2 671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vecí, v roku 2011 </w:t>
      </w:r>
      <w:r w:rsidRPr="00A22D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2 656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veci, v roku 2012  </w:t>
      </w:r>
      <w:r w:rsidRPr="00A22D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3 869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veci, v roku 2013 </w:t>
      </w:r>
      <w:r w:rsidRPr="00A22D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7 707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vecí a v roku</w:t>
      </w:r>
      <w:r w:rsid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2014 (v necelom – do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1. 11. 2014)</w:t>
      </w:r>
      <w:r w:rsidRPr="00A22D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4F2E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2D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6 851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vecí, k 31.12.2014 to už bolo </w:t>
      </w:r>
      <w:r w:rsidRPr="00A22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8 667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vecí a v roku 2015 </w:t>
      </w:r>
      <w:r w:rsidRPr="00A22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13 389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vecí. Obdobná situácia však bola aj na obchodnoprávnom, ale</w:t>
      </w:r>
      <w:r w:rsid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 na správnom kolégiu  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>najvyššieho súdu.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Nápad vecí na spomínanom občianskoprávnom kolégiu bolo možné „udržať“  iba v rokoch 2010 a 2011, avšak od roku 2012 to už nebolo možné, lebo počet vybavených veci v porovnaní s ich nápadom bol podstatne nižší.  Z dôvodu riešenia enormného počtu došlých vecí na občianskoprávnom kolégiu bola situácia riešená vytvorením registrov „X“ s cieľom  prerozdeliť agendu do ostatných kolégií. Počet došlých vecí v registroch „X“ predstavoval v roku 2016 6 257 z toho mimo registre občianskoprávneho kolégia 5 573 došlých vecí.  Najvyššiemu súdu sa tak podarilo znížiť počet nevybavených vecí z počtu 13 076 v roku 2015 na počet 8 274 vecí  k 31.12.2016  a </w:t>
      </w:r>
      <w:r w:rsidRPr="00A22D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31.12.2017 na počet 5 860 nevybavených vecí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</w:t>
      </w:r>
      <w:r w:rsidRPr="00A22D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Treba zdôrazniť, že najvyšší súd  dosiahol výkony uvedené v doložených tabuľkách s dlhodobo poddimenzovaným stavom sudcov. Ukazovateľ  85 sudcov sa už dlhodobo nezmenil. 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22D1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2D10" w:rsidRP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A22D10" w:rsidRPr="00A97DB7" w:rsidRDefault="00A22D10" w:rsidP="00D70845">
      <w:pPr>
        <w:widowControl w:val="0"/>
        <w:shd w:val="clear" w:color="auto" w:fill="FFFFFF"/>
        <w:suppressAutoHyphens/>
        <w:autoSpaceDE w:val="0"/>
        <w:spacing w:after="0" w:line="240" w:lineRule="auto"/>
        <w:ind w:left="284" w:right="584" w:hanging="284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A22D10">
        <w:rPr>
          <w:rFonts w:ascii="Times New Roman" w:eastAsia="Times New Roman" w:hAnsi="Times New Roman" w:cs="Times New Roman"/>
          <w:b/>
          <w:color w:val="FF0000"/>
          <w:spacing w:val="3"/>
          <w:sz w:val="26"/>
          <w:szCs w:val="26"/>
          <w:lang w:eastAsia="ar-SA"/>
        </w:rPr>
        <w:tab/>
      </w:r>
      <w:r w:rsidRPr="00A97DB7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 xml:space="preserve">1.1.2. </w:t>
      </w:r>
      <w:r w:rsidRPr="00A97DB7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 xml:space="preserve">Výsledok  rozpočtového  hospodárenia   kapitoly  </w:t>
      </w:r>
    </w:p>
    <w:p w:rsidR="00A22D10" w:rsidRPr="00A97DB7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8243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A97DB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</w:p>
    <w:p w:rsidR="00A22D10" w:rsidRPr="00A97DB7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DB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06 Kapitola                                                                                                                            v  EUR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2318"/>
      </w:tblGrid>
      <w:tr w:rsidR="004F2EDE" w:rsidRPr="00A97DB7" w:rsidTr="003332F8">
        <w:trPr>
          <w:trHeight w:hRule="exact" w:val="57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35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left="77" w:right="8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ar-SA"/>
              </w:rPr>
              <w:t xml:space="preserve">Schválený </w:t>
            </w:r>
            <w:r w:rsidRPr="00A97D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left="91" w:right="106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>Upravený rozpočet</w:t>
            </w: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>Skutočnosť</w:t>
            </w:r>
          </w:p>
        </w:tc>
      </w:tr>
      <w:tr w:rsidR="004F2EDE" w:rsidRPr="00A97DB7" w:rsidTr="003332F8">
        <w:trPr>
          <w:trHeight w:hRule="exact" w:val="288"/>
        </w:trPr>
        <w:tc>
          <w:tcPr>
            <w:tcW w:w="3544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5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8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F2EDE" w:rsidRPr="00A97DB7" w:rsidTr="003332F8">
        <w:trPr>
          <w:trHeight w:hRule="exact" w:val="28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Príjmy spolu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26 504</w:t>
            </w:r>
          </w:p>
        </w:tc>
      </w:tr>
      <w:tr w:rsidR="004F2EDE" w:rsidRPr="00A97DB7" w:rsidTr="003332F8">
        <w:trPr>
          <w:trHeight w:hRule="exact" w:val="29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z toho: prijaté z rozpočtu EU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F2EDE" w:rsidRPr="00A97DB7" w:rsidTr="003332F8">
        <w:trPr>
          <w:trHeight w:hRule="exact" w:val="28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Výdavky spolu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11 811 533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12 673 568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12 673 394</w:t>
            </w:r>
          </w:p>
        </w:tc>
      </w:tr>
      <w:tr w:rsidR="004F2EDE" w:rsidRPr="00A97DB7" w:rsidTr="003332F8">
        <w:trPr>
          <w:trHeight w:hRule="exact" w:val="29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Z toho: kryté prostriedkami EÚ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F2EDE" w:rsidRPr="00A97DB7" w:rsidTr="003332F8">
        <w:trPr>
          <w:trHeight w:hRule="exact" w:val="28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Saldo príjmov a výdavkov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Pr="00A97D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11 801 533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-</w:t>
            </w:r>
            <w:r w:rsidRPr="00A97D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12 663 568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-12 646 890</w:t>
            </w:r>
          </w:p>
        </w:tc>
      </w:tr>
      <w:tr w:rsidR="004F2EDE" w:rsidRPr="00A97DB7" w:rsidTr="003332F8">
        <w:trPr>
          <w:trHeight w:hRule="exact" w:val="307"/>
        </w:trPr>
        <w:tc>
          <w:tcPr>
            <w:tcW w:w="354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Z toho: z prostriedkov EU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D10" w:rsidRPr="00A97DB7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A22D10" w:rsidRPr="00A97DB7" w:rsidRDefault="00A22D10" w:rsidP="00A22D10">
      <w:pPr>
        <w:widowControl w:val="0"/>
        <w:shd w:val="clear" w:color="auto" w:fill="FFFFFF"/>
        <w:tabs>
          <w:tab w:val="left" w:pos="67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A97DB7" w:rsidRDefault="00A22D10" w:rsidP="00A22D10">
      <w:pPr>
        <w:widowControl w:val="0"/>
        <w:shd w:val="clear" w:color="auto" w:fill="FFFFFF"/>
        <w:tabs>
          <w:tab w:val="left" w:pos="674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Rozpočtové saldo kapitoly bolo v schválenom rozpočte  – 11 801 533  €,  po úprave rozpočtu predstavovalo  – 12 663 568 € a v skutočnosti dosiahlo výšku  – 12 646 890 €. Skutočnosť salda príjmov a výdavkov je len mierne znížená oproti upravenému rozpočtu  o vyššiu sumu skutočných príjmov. 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674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674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A97DB7" w:rsidRDefault="00D70845" w:rsidP="00D7084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pacing w:val="3"/>
          <w:sz w:val="26"/>
          <w:szCs w:val="26"/>
          <w:lang w:eastAsia="ar-SA"/>
        </w:rPr>
        <w:tab/>
      </w:r>
      <w:r w:rsidR="00A22D10" w:rsidRPr="00A97DB7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 xml:space="preserve">1.1.3. Zhodnotenie plnenia záväzných ukazovateľov rozpočtu </w:t>
      </w:r>
      <w:r w:rsidR="00A22D10" w:rsidRPr="00A97DB7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ar-SA"/>
        </w:rPr>
        <w:t>kapitoly</w:t>
      </w:r>
    </w:p>
    <w:p w:rsidR="00A22D10" w:rsidRPr="00A97DB7" w:rsidRDefault="00A22D10" w:rsidP="00D7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7D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A22D10" w:rsidRPr="00A97DB7" w:rsidRDefault="00A22D10" w:rsidP="00A22D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Kapitola najvyšší súd  vykonala rozpis záväzných ukazovateľov štátneho rozpočtu na rok 201</w:t>
      </w:r>
      <w:r w:rsidR="00A97DB7" w:rsidRP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 zmysle zákona č. 357/2016 Z. z.  o štátnom  rozpočte  na rok 2017                   z 29.11.2016 a v zmysle listu Ministerstva financií Slovenskej republiky číslo MF/021528/2016-441  z  08.12.2016.</w:t>
      </w:r>
    </w:p>
    <w:p w:rsidR="00A22D10" w:rsidRPr="004F2EDE" w:rsidRDefault="00A22D10" w:rsidP="00A22D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A97DB7" w:rsidRDefault="00A22D10" w:rsidP="00A22D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D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Schválené záväzné ukazovatele boli v priebehu roka 2017 na základe vykonaných rozpočtových opatrení upravené.</w:t>
      </w:r>
    </w:p>
    <w:p w:rsidR="00A22D10" w:rsidRPr="004F2EDE" w:rsidRDefault="00A22D10" w:rsidP="00A22D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A97DB7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</w:pPr>
      <w:r w:rsidRP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 xml:space="preserve">Výška rozpísaných príjmov kapitoly predstavovala sumu 10 000 €, výdavky kapitoly celkom boli rozpísané v sume    </w:t>
      </w:r>
      <w:r w:rsidRPr="00A97DB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11 811 533 </w:t>
      </w:r>
      <w:r w:rsidRP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Pr="00A97DB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, z toho </w:t>
      </w:r>
      <w:r w:rsidRPr="00A97DB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na </w:t>
      </w:r>
      <w:r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mzdy, platy, služobné príjmy a ostatné osobné  vyrovnania  v  sume  8 178 198 </w:t>
      </w:r>
      <w:r w:rsidRP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,  počet zamestnancov 2</w:t>
      </w:r>
      <w:r w:rsidR="00A97DB7"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8</w:t>
      </w:r>
      <w:r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0,</w:t>
      </w:r>
      <w:r w:rsidRPr="00A97DB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kapitálové výdavky </w:t>
      </w:r>
      <w:r w:rsidRPr="00A97DB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v sume  50 000 </w:t>
      </w:r>
      <w:r w:rsidRP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</w:pPr>
    </w:p>
    <w:p w:rsidR="00A22D10" w:rsidRPr="00A97DB7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ar-SA"/>
        </w:rPr>
      </w:pPr>
      <w:r w:rsidRPr="00A97DB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Rozpočtová organizácia najvyšší súd  mala rozpísané  záväzné ukazovatele </w:t>
      </w:r>
      <w:r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na programe 01W - Jednotný výklad/aplikácia zákona </w:t>
      </w:r>
      <w:r w:rsid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v sume 11 715 070 </w:t>
      </w:r>
      <w:r w:rsidR="00A97DB7" w:rsidRP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a podprograme 0EK05 – Informačné technológie financované zo štátneho rozpočtu – Najvyšší súd </w:t>
      </w:r>
      <w:r w:rsid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SR</w:t>
      </w:r>
      <w:r w:rsidR="00A97DB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   v  sume     96 463 </w:t>
      </w:r>
      <w:r w:rsidR="00A97DB7" w:rsidRP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="00A97DB7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.</w:t>
      </w:r>
    </w:p>
    <w:p w:rsidR="00A22D10" w:rsidRPr="00240D24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</w:p>
    <w:p w:rsidR="00A22D10" w:rsidRPr="00240D24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Schválený rozpočet záväzných ukazovateľov  na rok 2017, upravený rozpočet na rok 2017 a skutočné plnenie záväzných ukazovateľov je uvedené v tabuľke číslo 4 v tabuľkovej časti tohto materiálu. 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ar-SA"/>
        </w:rPr>
      </w:pPr>
    </w:p>
    <w:p w:rsidR="00A22D10" w:rsidRPr="00240D24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Kapitola čerpala rozpočtové prostriedky tak, aby dodržala záväzné ukazovatele rozpočtu. Rozpočet výdavkov bol nedočerpaný v sume 174 </w:t>
      </w:r>
      <w:r w:rsidRPr="00240D24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z toho: kapitálové výdavky v sume 74 </w:t>
      </w:r>
      <w:r w:rsidRPr="00240D24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€.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Záväzný ukazovateľ príjmov bol prekročený o mimoriadne, </w:t>
      </w:r>
      <w:r w:rsid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neplánované </w:t>
      </w:r>
      <w:r w:rsid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príjmy vo</w:t>
      </w:r>
      <w:r w:rsid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výške </w:t>
      </w:r>
      <w:r w:rsidR="00A97DB7"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16 504 </w:t>
      </w:r>
      <w:r w:rsidRPr="00240D24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lang w:eastAsia="ar-SA"/>
        </w:rPr>
      </w:pPr>
    </w:p>
    <w:p w:rsidR="00A22D10" w:rsidRPr="00240D24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bCs/>
          <w:color w:val="FF0000"/>
          <w:spacing w:val="-6"/>
          <w:sz w:val="24"/>
          <w:szCs w:val="24"/>
          <w:lang w:eastAsia="ar-SA"/>
        </w:rPr>
        <w:tab/>
      </w:r>
      <w:r w:rsidRPr="00240D2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  <w:t>Počet    zamestnancov    podľa   prílohy   č. 1    k   uzneseniu   vlády   Slovenskej   republiky</w:t>
      </w:r>
    </w:p>
    <w:p w:rsidR="00A22D10" w:rsidRPr="00240D24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  <w:r w:rsidRPr="00240D2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  <w:t xml:space="preserve">č. 461/2016  bol 280 osôb, z toho: aparát ústredného orgánu 280 osôb. </w:t>
      </w:r>
      <w:r w:rsidRPr="00240D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V roku 2017 bol priemerný evidenčný počet zamestnancov - prepočítaný 241,8 osôb, z toho na aparáte ústredného orgánu  241,8 osôb. 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A22D10" w:rsidRPr="004F2EDE" w:rsidRDefault="00A22D10" w:rsidP="00A22D1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1.2. Príjmy kapitoly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18"/>
          <w:szCs w:val="18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Kapitola najvyšší súd nevykonáva činnosti, ktorá by jej zabezpečili </w:t>
      </w:r>
      <w:r w:rsidRPr="004F2ED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pravidelné príjmy. Príjmy kapitoly sa rozpočtujú na základe odhadov, nakoľko sa jedná o príjmy náhodné.  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1.2.1. Príjmy kapitoly podľa ekonomickej klasifikácie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A22D10" w:rsidRPr="00240D24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Kapitola najvyšší súd  mala v roku 2017 rozpísaný záväzný ukazovateľ rozpočtu na príjmy v sume  10 000 </w:t>
      </w:r>
      <w:r w:rsidRPr="00240D24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ktorého plnenie k  31.12.2017 bolo vo výške 26 504 </w:t>
      </w:r>
      <w:r w:rsidRPr="00240D24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€</w:t>
      </w:r>
      <w:r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čo predstavuje plnenie rozpočtu príjmov na 265,04 %.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240D24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>Celkové príjmy, ktoré kapitola v skutočnosti dosiahla v roku 2017 boli v porovnaní s rokom 2017  o</w:t>
      </w:r>
      <w:r w:rsidR="00240D24"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24 256 € vyššie najmä z dôvodu súm dobropisov za energie a servis IT.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240D24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D24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rozpočtu príjmov rozpočtovej kapitoly podľa kategórií ekonomickej klasifikácie bolo v roku 2017  nasledovné:</w:t>
      </w:r>
    </w:p>
    <w:p w:rsidR="00A22D10" w:rsidRPr="00240D24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240D24" w:rsidRPr="004F2EDE" w:rsidRDefault="00240D24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A22D10" w:rsidRPr="006B5448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</w:pPr>
      <w:r w:rsidRPr="006B54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06 Kapitola</w:t>
      </w:r>
      <w:r w:rsidRPr="006B54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6B544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</w:t>
      </w:r>
      <w:r w:rsidRPr="006B544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B544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B544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</w:t>
      </w:r>
      <w:r w:rsidRPr="006B54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   </w:t>
      </w:r>
      <w:r w:rsidRPr="006B5448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>EUR</w:t>
      </w:r>
    </w:p>
    <w:tbl>
      <w:tblPr>
        <w:tblW w:w="9110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992"/>
        <w:gridCol w:w="709"/>
        <w:gridCol w:w="709"/>
        <w:gridCol w:w="992"/>
        <w:gridCol w:w="1559"/>
      </w:tblGrid>
      <w:tr w:rsidR="004F2EDE" w:rsidRPr="006B5448" w:rsidTr="003332F8">
        <w:trPr>
          <w:trHeight w:val="267"/>
        </w:trPr>
        <w:tc>
          <w:tcPr>
            <w:tcW w:w="414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hlavná kategória/kategória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upravený rozpočet (UR)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skutočnosť </w:t>
            </w:r>
          </w:p>
        </w:tc>
      </w:tr>
      <w:tr w:rsidR="004F2EDE" w:rsidRPr="006B5448" w:rsidTr="003332F8">
        <w:trPr>
          <w:trHeight w:val="295"/>
        </w:trPr>
        <w:tc>
          <w:tcPr>
            <w:tcW w:w="4149" w:type="dxa"/>
            <w:vMerge/>
            <w:tcBorders>
              <w:top w:val="single" w:sz="4" w:space="0" w:color="000000"/>
              <w:left w:val="single" w:sz="6" w:space="0" w:color="auto"/>
              <w:right w:val="doub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spolu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 tom: </w:t>
            </w:r>
          </w:p>
        </w:tc>
      </w:tr>
      <w:tr w:rsidR="004F2EDE" w:rsidRPr="006B5448" w:rsidTr="003332F8">
        <w:trPr>
          <w:trHeight w:val="257"/>
        </w:trPr>
        <w:tc>
          <w:tcPr>
            <w:tcW w:w="4149" w:type="dxa"/>
            <w:vMerge/>
            <w:tcBorders>
              <w:top w:val="single" w:sz="4" w:space="0" w:color="000000"/>
              <w:left w:val="single" w:sz="6" w:space="0" w:color="auto"/>
              <w:right w:val="doub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rozpočtové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mimorozpočtové</w:t>
            </w:r>
          </w:p>
        </w:tc>
      </w:tr>
      <w:tr w:rsidR="004F2EDE" w:rsidRPr="006B5448" w:rsidTr="003332F8">
        <w:trPr>
          <w:trHeight w:val="221"/>
        </w:trPr>
        <w:tc>
          <w:tcPr>
            <w:tcW w:w="414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v </w:t>
            </w:r>
            <w:r w:rsidRPr="006B54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ar-SA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 % z 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v </w:t>
            </w:r>
            <w:r w:rsidRPr="006B54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ar-SA"/>
              </w:rPr>
              <w:t>€</w:t>
            </w:r>
          </w:p>
        </w:tc>
      </w:tr>
      <w:tr w:rsidR="004F2EDE" w:rsidRPr="006B5448" w:rsidTr="003332F8">
        <w:trPr>
          <w:trHeight w:val="371"/>
        </w:trPr>
        <w:tc>
          <w:tcPr>
            <w:tcW w:w="41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200-Nedaňové príjmy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26 504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26 504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265,04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4F2EDE" w:rsidRPr="006B5448" w:rsidTr="003332F8">
        <w:trPr>
          <w:trHeight w:val="181"/>
        </w:trPr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210-Príjmy z podnik. a z vlastníctva majetku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F2EDE" w:rsidRPr="006B5448" w:rsidTr="003332F8">
        <w:trPr>
          <w:trHeight w:val="402"/>
        </w:trPr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220-Administratívne poplatky a iné poplatky</w:t>
            </w:r>
          </w:p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a platby   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F2EDE" w:rsidRPr="006B5448" w:rsidTr="003332F8">
        <w:trPr>
          <w:trHeight w:val="303"/>
        </w:trPr>
        <w:tc>
          <w:tcPr>
            <w:tcW w:w="4149" w:type="dxa"/>
            <w:tcBorders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230-Kapitálové príjmy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F2EDE" w:rsidRPr="006B5448" w:rsidTr="003332F8">
        <w:trPr>
          <w:trHeight w:val="402"/>
        </w:trPr>
        <w:tc>
          <w:tcPr>
            <w:tcW w:w="4149" w:type="dxa"/>
            <w:tcBorders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240-Úroky z tuzemských úverov, pôžičiek a </w:t>
            </w:r>
          </w:p>
          <w:p w:rsidR="00A22D10" w:rsidRPr="006B5448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vkladov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22D10" w:rsidRPr="006B5448" w:rsidTr="003332F8">
        <w:trPr>
          <w:trHeight w:val="173"/>
        </w:trPr>
        <w:tc>
          <w:tcPr>
            <w:tcW w:w="414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290-Iné nedaňové príjmy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25 536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25 536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283,74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22D10" w:rsidRPr="006B5448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A22D10" w:rsidRPr="006B5448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5387" w:rsidRDefault="00825387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6B5448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448">
        <w:rPr>
          <w:rFonts w:ascii="Times New Roman" w:eastAsia="Times New Roman" w:hAnsi="Times New Roman" w:cs="Times New Roman"/>
          <w:sz w:val="24"/>
          <w:szCs w:val="24"/>
          <w:lang w:eastAsia="ar-SA"/>
        </w:rPr>
        <w:t>Príjmy: 968 € príjem z predaja osobitného zborníka súhrnu právnych viet zo zbierok stanovísk Najvyššieho súdu a rozhodnutí súdov Slovenskej republiky vydanej pri príležitosti 20. výročia vzniku samostatnej Slovenskej republiky, príjem za vyhotovenie fotokópií a z úhrady vecných nákladov; 24 536 € príjem  z dobropisov za elektrickú energiu, plyn,  novín, zákonnej poistky, servisu IT; 8 € preplatok na zdravotnom poistení platenom zamestnávateľom; 992 € príjem z refundácií cestovných náhrad a za vodné, stočné od MZV SR z roku 2016.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V  roku 2017 kapitola realizovala predpis a úhradu súdnych poplatkov prostredníctvom Centrálneho systému evidencie  poplatkov.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ar-SA"/>
        </w:rPr>
        <w:tab/>
      </w:r>
      <w:r w:rsidRPr="004F2ED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ar-SA"/>
        </w:rPr>
        <w:t>1.2.2. Prostriedky prijaté z rozpočtu EÚ a iné prostriedky zo zahraničia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Kapitola kancelária najvyššieho súdu  neprijala v roku 2017 žiadne granty ani transfery z rozpočtu </w:t>
      </w:r>
      <w:r w:rsidRPr="004F2E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Európskej únie.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2E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F2E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1.2.3. Úpravy pôvodne schváleného rozpočtu príjmov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Kapitola </w:t>
      </w:r>
      <w:r w:rsidRPr="004F2ED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kancelária najvyššieho súdu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roku 2017 nemala rozpočtovým opatrením upravený rozpočet príjmov.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A22D10" w:rsidRPr="006B5448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2D10" w:rsidRPr="006B5448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6B544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1.3.  Výdavky kapitoly </w:t>
      </w:r>
    </w:p>
    <w:p w:rsidR="00A22D10" w:rsidRPr="006B5448" w:rsidRDefault="00A22D10" w:rsidP="00A22D10">
      <w:pPr>
        <w:shd w:val="clear" w:color="auto" w:fill="FFFFFF"/>
        <w:tabs>
          <w:tab w:val="left" w:pos="67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22D10" w:rsidRPr="006B5448" w:rsidRDefault="00A22D10" w:rsidP="00A22D10">
      <w:pPr>
        <w:shd w:val="clear" w:color="auto" w:fill="FFFFFF"/>
        <w:tabs>
          <w:tab w:val="left" w:pos="67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544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6B54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A22D10" w:rsidRPr="006B5448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schválenom rozpočte na rok 2017 mala kapitola rozpísaný rozpočet celkových výdavkov  vo výške 11 811 533 €. V priebehu roka 2017 bol  limit výdavkov kapitoly na základe rozpočtových opatrení Ministerstva financií Slovenskej republiky upravený na sumu 12 673 568 €. </w:t>
      </w:r>
    </w:p>
    <w:p w:rsidR="00A22D10" w:rsidRPr="006B5448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54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2D10" w:rsidRPr="003B65FA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5FA">
        <w:rPr>
          <w:rFonts w:ascii="Times New Roman" w:eastAsia="Times New Roman" w:hAnsi="Times New Roman" w:cs="Times New Roman"/>
          <w:sz w:val="24"/>
          <w:szCs w:val="24"/>
          <w:lang w:eastAsia="ar-SA"/>
        </w:rPr>
        <w:t>V skutočnosti boli celkové výdavky rozpočtovej kapitoly najvyšší súd v roku 2017 čerpané v sume 12 673 394  €, čo je v porovnaní s rokom 2016 (10 565 862 €</w:t>
      </w:r>
      <w:r w:rsidRPr="003B65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)</w:t>
      </w:r>
      <w:r w:rsidRPr="003B6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zvýšenie  výdavkov o 2 107 532 €, čo predstavuje zvýšenie  o 19,95  %. </w:t>
      </w:r>
    </w:p>
    <w:p w:rsidR="00A22D10" w:rsidRPr="003B65FA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3B65FA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5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 priebehu rozpočtového roka kapitola nečerpala prostriedky z mimorozpočtových zdrojov.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4F2EDE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10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úrovne Ministerstva financií Slovenskej republiky bolo realizovaných 11 rozpočtových opatrení, ktoré mali vplyv na záväzné ukazovatele rozpočtu kapitoly kancelária najvyšší súd. Kancelária najvyššieho súdu v priebehu roka 2017 vykonal 16 vnútorných rozpočtových opatrení. 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ab/>
      </w:r>
    </w:p>
    <w:p w:rsidR="00A22D10" w:rsidRPr="005E5292" w:rsidRDefault="00A22D10" w:rsidP="00A22D1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ar-SA"/>
        </w:rPr>
        <w:tab/>
      </w:r>
      <w:r w:rsidRPr="005E529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1.3.1. </w:t>
      </w:r>
      <w:r w:rsidRPr="005E5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Výdavky kapitoly podľa ekonomickej klasifikácie</w:t>
      </w:r>
    </w:p>
    <w:p w:rsidR="00A22D10" w:rsidRPr="005E5292" w:rsidRDefault="00A22D10" w:rsidP="00A22D10">
      <w:pPr>
        <w:widowControl w:val="0"/>
        <w:shd w:val="clear" w:color="auto" w:fill="FFFFFF"/>
        <w:tabs>
          <w:tab w:val="left" w:pos="8907"/>
        </w:tabs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5E5292" w:rsidRDefault="00A22D10" w:rsidP="00A22D10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2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529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E5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Plnenie rozpočtu výdavkov kapitoly podľa kategórií ekonomickej klasifikácie bolo   v roku  2017 nasledovné: </w:t>
      </w:r>
    </w:p>
    <w:p w:rsidR="00A22D10" w:rsidRPr="005E5292" w:rsidRDefault="00A22D10" w:rsidP="00A22D10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E529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  <w:r w:rsidRPr="005E5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06 Kapitola, kód zdroja 111, 131                                                                              v  EUR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7"/>
        <w:gridCol w:w="1276"/>
        <w:gridCol w:w="1417"/>
        <w:gridCol w:w="1418"/>
        <w:gridCol w:w="1326"/>
      </w:tblGrid>
      <w:tr w:rsidR="004F2EDE" w:rsidRPr="004F2EDE" w:rsidTr="003332F8">
        <w:trPr>
          <w:trHeight w:val="77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Kategória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Schválený rozpočet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Upravený rozpočet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Čerpanie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rok 2017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% čerpania k upravenému rozpočtu  rok 2017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Čerpanie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rok 2016</w:t>
            </w:r>
          </w:p>
        </w:tc>
      </w:tr>
      <w:tr w:rsidR="004F2EDE" w:rsidRPr="004F2EDE" w:rsidTr="003332F8">
        <w:trPr>
          <w:trHeight w:val="230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 Mzdy, platy,    služobné príjmy a OOV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8 178 198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8 110 960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8 110 955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7 191 691</w:t>
            </w:r>
          </w:p>
        </w:tc>
      </w:tr>
      <w:tr w:rsidR="004F2EDE" w:rsidRPr="004F2EDE" w:rsidTr="003332F8">
        <w:trPr>
          <w:trHeight w:val="5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 Poistné a príspevok do poisťovne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2 559 483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2 536 995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2 536 994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1 968 523</w:t>
            </w:r>
          </w:p>
        </w:tc>
      </w:tr>
      <w:tr w:rsidR="004F2EDE" w:rsidRPr="004F2EDE" w:rsidTr="003332F8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630 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Tovary a služby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906 521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90D06"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571</w:t>
            </w:r>
            <w:r w:rsidR="00090D06"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1 571 906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1 124 249</w:t>
            </w:r>
          </w:p>
        </w:tc>
      </w:tr>
      <w:tr w:rsidR="004F2EDE" w:rsidRPr="004F2EDE" w:rsidTr="003332F8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640</w:t>
            </w: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Bežné transfery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  <w:r w:rsidR="00090D06"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  <w:r w:rsidR="00090D06"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168 738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273 587</w:t>
            </w:r>
          </w:p>
        </w:tc>
      </w:tr>
      <w:tr w:rsidR="004F2EDE" w:rsidRPr="004F2EDE" w:rsidTr="003332F8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600</w:t>
            </w:r>
          </w:p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Bežné výdavky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  <w:r w:rsidR="00090D06"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761 533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  <w:r w:rsidR="00090D06"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388</w:t>
            </w:r>
            <w:r w:rsidR="00090D06"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12 388 593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10 558 049</w:t>
            </w:r>
          </w:p>
        </w:tc>
      </w:tr>
      <w:tr w:rsidR="004F2EDE" w:rsidRPr="004F2EDE" w:rsidTr="003332F8">
        <w:trPr>
          <w:trHeight w:val="46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700                 Kapitálové výdavky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825387" w:rsidRDefault="00825387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164 875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825387" w:rsidRDefault="00825387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  <w:r w:rsidR="00A22D10"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22D10"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99,97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7 813</w:t>
            </w:r>
          </w:p>
        </w:tc>
      </w:tr>
      <w:tr w:rsidR="004F2EDE" w:rsidRPr="004F2EDE" w:rsidTr="003332F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z toho: kód zdroja 131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</w:t>
            </w:r>
            <w:r w:rsidR="00825387"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825387" w:rsidRDefault="00825387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120 </w:t>
            </w:r>
            <w:r w:rsidR="00A22D10"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4F2EDE" w:rsidRPr="004F2EDE" w:rsidTr="003332F8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Spolu (zdroj 111,  131 )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11 811 533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12 673 568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12 673 394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090D06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10 565 862</w:t>
            </w:r>
          </w:p>
        </w:tc>
      </w:tr>
      <w:tr w:rsidR="004F2EDE" w:rsidRPr="004F2EDE" w:rsidTr="003332F8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toho: kód zdroja 111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11 811 533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12 553 568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12 553 394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10 565 862</w:t>
            </w:r>
          </w:p>
        </w:tc>
      </w:tr>
      <w:tr w:rsidR="00A22D10" w:rsidRPr="004F2EDE" w:rsidTr="003332F8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z toho: kód zdroja 131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6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100.00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22D10" w:rsidRPr="00825387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5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22D10" w:rsidRPr="00D06509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D06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Vyššie</w:t>
      </w:r>
      <w:r w:rsidRPr="00D06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čerpanie rozpočtových prostriedkov v roku 2017  v porovnaní s rokom 2016 </w:t>
      </w:r>
      <w:r w:rsidRPr="00D06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 kategórii 610</w:t>
      </w:r>
      <w:r w:rsidRPr="00D06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bolo z dôvodu zvýšenia záväzného  ukazovateľa  počtu zamestnancov o 55 (50 v štátnej službe, 5  pri výkone práce vo verejnom záujme), zvýšenia platov sudcov v závislosti od  priemernej mesačnej nominálnej mzdy v hospodárstve za rok 2016 a valorizácie miezd zamestnancov v štátnej službe a pri výkone práce vo verejnom záujme.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D06509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D06509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Zvýšenie čerpania</w:t>
      </w:r>
      <w:r w:rsidRPr="00D0650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D06509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v kategórii 630</w:t>
      </w:r>
      <w:r w:rsidRPr="00D0650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bolo najmä z dôvodu nákupov v oblasti informačno</w:t>
      </w:r>
      <w:r w:rsidR="00825387" w:rsidRPr="00D0650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-</w:t>
      </w:r>
      <w:r w:rsidRPr="00D0650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komunikačných technológií a zvýšenie prevádzkových nákladov z dôvodu zvýšenia počtu zamestnancov.  </w:t>
      </w:r>
    </w:p>
    <w:p w:rsidR="00A22D10" w:rsidRPr="00D06509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A22D10" w:rsidRPr="00D06509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D06509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Zvýšenie čerpanie v kategórii 640</w:t>
      </w:r>
      <w:r w:rsidRPr="00D0650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bolo z dôvodu vyplatenia odchodného 3 sudcom najvyššieho súdu (v roku 2016 5 sudcom).</w:t>
      </w:r>
    </w:p>
    <w:p w:rsidR="00825387" w:rsidRDefault="00825387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</w:p>
    <w:p w:rsidR="00825387" w:rsidRDefault="00825387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</w:p>
    <w:p w:rsidR="00825387" w:rsidRDefault="00825387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A22D10" w:rsidRPr="00D06509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6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Kategória 610 </w:t>
      </w:r>
      <w:r w:rsidRPr="00D06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065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Mzdy, platy, služobné príjmy a ostatné osobné vyrovnania</w:t>
      </w:r>
    </w:p>
    <w:p w:rsidR="00A22D10" w:rsidRPr="00D06509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22D10" w:rsidRPr="00D06509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0650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Mzdy, platy, služobné príjmy a </w:t>
      </w:r>
      <w:r w:rsidRPr="00D0650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ostatné osobné vyrovnania  - </w:t>
      </w:r>
      <w:r w:rsidRPr="00D0650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kategória 610, bola čerpaná v sume </w:t>
      </w:r>
      <w:r w:rsidRPr="00D065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8 110 955  </w:t>
      </w:r>
      <w:r w:rsidRPr="00D06509">
        <w:rPr>
          <w:rFonts w:ascii="Times New Roman" w:eastAsia="Times New Roman" w:hAnsi="Times New Roman" w:cs="Times New Roman"/>
          <w:sz w:val="24"/>
          <w:szCs w:val="24"/>
          <w:lang w:eastAsia="ar-SA"/>
        </w:rPr>
        <w:t>€ (sudcovia 5 317 150 €, štátna služba 2 550 637 €, verejný záujem   243 168 €)</w:t>
      </w:r>
      <w:r w:rsidRPr="00D065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 t. j. na 100,00 %   k upravenému rozpočtu, ktorý   predstavoval  sumu    8 110 960 </w:t>
      </w:r>
      <w:r w:rsidRPr="00D06509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D0650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Mzdové výdavky predstavujú výdavky na tarifné platy, doplatok platu, paušálnu náhradu vedúceho kancelárie, osobné a ostatné príplatky zamestnancov v štátnej službe a zamestnancov vykonávajúcich práce vo verejnom záujme, odmeny,  základný plat sudcu, funkčné príplatky, paušálnu náhradu sudcov a 13.,14. plat sudcov.</w:t>
      </w:r>
    </w:p>
    <w:p w:rsidR="00A22D10" w:rsidRPr="00B62421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B62421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2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Kategória 620 - Poistné a príspevok zamestnávateľa do poisťovní </w:t>
      </w:r>
    </w:p>
    <w:p w:rsidR="00A22D10" w:rsidRPr="00B62421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22D10" w:rsidRPr="00B62421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4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Poistné a príspevok zamestnávateľa do poisťovní </w:t>
      </w:r>
      <w:r w:rsidRPr="00B62421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-</w:t>
      </w:r>
      <w:r w:rsidRPr="00B62421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B62421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kategória 620  bola čerpaná v sume </w:t>
      </w:r>
      <w:r w:rsidRPr="00B6242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2 536 994 €, t. j. na 100,00 %  k upravenému rozpočtu, ktorý predstavoval sumu                  2 536 995 </w:t>
      </w: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</w:t>
      </w:r>
      <w:r w:rsidR="00B62421"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>Kancelária najvyššieho</w:t>
      </w: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súd</w:t>
      </w:r>
      <w:r w:rsidR="00B62421"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>u poskytovala</w:t>
      </w: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svojim zamestnancom príspevok n</w:t>
      </w:r>
      <w:r w:rsidR="00B62421"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>a doplnkové dôchodkové sporenie</w:t>
      </w: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2D10" w:rsidRPr="00B62421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A22D10" w:rsidRPr="00B62421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</w:pPr>
      <w:r w:rsidRPr="00B624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Kategória 630 </w:t>
      </w:r>
      <w:r w:rsidRPr="00B62421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- </w:t>
      </w:r>
      <w:r w:rsidRPr="00B624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Tovary a služby</w:t>
      </w:r>
    </w:p>
    <w:p w:rsidR="00A22D10" w:rsidRPr="00B62421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B62421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  rozpočtu   výdavkov   na   „Tovary a  služby“ -  kategória 630</w:t>
      </w:r>
      <w:r w:rsidRPr="00B624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 štruktúre </w:t>
      </w:r>
    </w:p>
    <w:p w:rsidR="00A22D10" w:rsidRPr="00B62421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úrovne položiek poskytuje nasledovný prehľad: </w:t>
      </w:r>
    </w:p>
    <w:p w:rsidR="00A22D10" w:rsidRPr="00B62421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B62421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421">
        <w:rPr>
          <w:rFonts w:ascii="Times New Roman" w:eastAsia="Times New Roman" w:hAnsi="Times New Roman" w:cs="Times New Roman"/>
          <w:sz w:val="24"/>
          <w:szCs w:val="24"/>
          <w:lang w:eastAsia="ar-SA"/>
        </w:rPr>
        <w:t>06 Kapitola,  kód zdroja 111                                                                                              v EUR</w:t>
      </w:r>
    </w:p>
    <w:tbl>
      <w:tblPr>
        <w:tblW w:w="92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1"/>
        <w:gridCol w:w="1304"/>
        <w:gridCol w:w="1384"/>
        <w:gridCol w:w="1554"/>
        <w:gridCol w:w="1555"/>
        <w:gridCol w:w="1216"/>
      </w:tblGrid>
      <w:tr w:rsidR="004F2EDE" w:rsidRPr="00B62421" w:rsidTr="003332F8">
        <w:trPr>
          <w:trHeight w:val="842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Kategória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Schválený rozpočet</w:t>
            </w: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Upravený rozpočet</w:t>
            </w: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Čerpanie</w:t>
            </w: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za </w:t>
            </w: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rok 2017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% čerpania k upravenému rozpočtu  rok 2017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3B5AEF" w:rsidRDefault="003B5AEF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Čerpanie</w:t>
            </w: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za </w:t>
            </w: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rok 2016</w:t>
            </w:r>
          </w:p>
        </w:tc>
      </w:tr>
      <w:tr w:rsidR="004F2EDE" w:rsidRPr="00B62421" w:rsidTr="003332F8">
        <w:trPr>
          <w:trHeight w:val="533"/>
        </w:trPr>
        <w:tc>
          <w:tcPr>
            <w:tcW w:w="2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630 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Tovary a služby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906</w:t>
            </w:r>
            <w:r w:rsidR="00B62421"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B62421"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571</w:t>
            </w:r>
            <w:r w:rsidR="00B62421"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554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B62421"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571</w:t>
            </w:r>
            <w:r w:rsidR="00B62421"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906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99,99</w:t>
            </w:r>
          </w:p>
        </w:tc>
        <w:tc>
          <w:tcPr>
            <w:tcW w:w="1216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1 124 249</w:t>
            </w:r>
          </w:p>
        </w:tc>
      </w:tr>
      <w:tr w:rsidR="004F2EDE" w:rsidRPr="00B62421" w:rsidTr="003332F8">
        <w:trPr>
          <w:trHeight w:val="349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toho: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4F2EDE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4F2EDE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4F2EDE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4F2EDE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2EDE" w:rsidRPr="00B62421" w:rsidTr="003332F8">
        <w:trPr>
          <w:trHeight w:val="320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631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Cestovné náhrady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30 400 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44 883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44 882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39 273</w:t>
            </w:r>
          </w:p>
        </w:tc>
      </w:tr>
      <w:tr w:rsidR="004F2EDE" w:rsidRPr="00B62421" w:rsidTr="003332F8">
        <w:trPr>
          <w:trHeight w:val="33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Energie, voda, </w:t>
            </w:r>
            <w:proofErr w:type="spellStart"/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telekom</w:t>
            </w:r>
            <w:proofErr w:type="spellEnd"/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241 276 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251 690 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251 684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230 563</w:t>
            </w:r>
          </w:p>
        </w:tc>
      </w:tr>
      <w:tr w:rsidR="004F2EDE" w:rsidRPr="00B62421" w:rsidTr="003332F8">
        <w:trPr>
          <w:trHeight w:val="33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633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Materiál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89 785 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481 987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B62421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  <w:r w:rsidR="00A22D10"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22D10"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152 266</w:t>
            </w:r>
          </w:p>
        </w:tc>
      </w:tr>
      <w:tr w:rsidR="004F2EDE" w:rsidRPr="00B62421" w:rsidTr="003332F8">
        <w:trPr>
          <w:trHeight w:val="33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634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Dopravné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25 900 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32 115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32 112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23 485</w:t>
            </w:r>
          </w:p>
        </w:tc>
      </w:tr>
      <w:tr w:rsidR="004F2EDE" w:rsidRPr="00B62421" w:rsidTr="003332F8">
        <w:trPr>
          <w:trHeight w:val="45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Rutinná a </w:t>
            </w:r>
            <w:proofErr w:type="spellStart"/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štan</w:t>
            </w:r>
            <w:proofErr w:type="spellEnd"/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údržba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62 938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42 228 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42 226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69 255</w:t>
            </w:r>
          </w:p>
        </w:tc>
      </w:tr>
      <w:tr w:rsidR="004F2EDE" w:rsidRPr="00B62421" w:rsidTr="003332F8">
        <w:trPr>
          <w:trHeight w:val="45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636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Nájomné za nájom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6 600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21 685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DB3A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21 68</w:t>
            </w:r>
            <w:r w:rsidR="00DB3A7D"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6 595</w:t>
            </w:r>
          </w:p>
        </w:tc>
      </w:tr>
      <w:tr w:rsidR="00A22D10" w:rsidRPr="00B62421" w:rsidTr="003332F8">
        <w:trPr>
          <w:trHeight w:val="456"/>
        </w:trPr>
        <w:tc>
          <w:tcPr>
            <w:tcW w:w="22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637</w:t>
            </w: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Služby</w:t>
            </w:r>
          </w:p>
        </w:tc>
        <w:tc>
          <w:tcPr>
            <w:tcW w:w="1304" w:type="dxa"/>
            <w:tcBorders>
              <w:top w:val="single" w:sz="4" w:space="0" w:color="000000"/>
              <w:left w:val="double" w:sz="4" w:space="0" w:color="auto"/>
              <w:bottom w:val="single" w:sz="6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449 622 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697 411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697 386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:rsidR="00A22D10" w:rsidRPr="00DB3A7D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DB3A7D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3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22D10" w:rsidRPr="00B62421" w:rsidRDefault="00A22D10" w:rsidP="00A22D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B62421" w:rsidRDefault="00A22D10" w:rsidP="00A22D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24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602 811</w:t>
            </w:r>
          </w:p>
        </w:tc>
      </w:tr>
    </w:tbl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ar-SA"/>
        </w:rPr>
      </w:pPr>
    </w:p>
    <w:p w:rsidR="00A22D10" w:rsidRPr="003B5AEF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ar-SA"/>
        </w:rPr>
      </w:pPr>
    </w:p>
    <w:p w:rsidR="00A22D10" w:rsidRPr="003B5AEF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B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Tovary a služby – kategória 630 bola čerpaná v sume 1 571 906 €, t. j. na 99,99 % k upravenému rozpočtu, ktorý predstavoval sumu 1 571 999 €. </w:t>
      </w:r>
      <w:r w:rsidRPr="003B5AE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Čerpanie na jednotlivých položkách je nasledovné: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Cestovné náhrady – položka 631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44 882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44 883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na tejto položke boli zabezpečené najmä  výdavky na zahraničné služobné ceste v sume 30 801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a 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náhrady poskytované sudcom  najvyššieho súdu pri preložení na výkon funkcie sudcu mimo bydliska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 v sume   10 140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lastRenderedPageBreak/>
        <w:t xml:space="preserve">Energie, voda a komunikácie - </w:t>
      </w:r>
      <w:r w:rsidRPr="001B47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položka 632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251 684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251 690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na tejto položke boli zabezpečené výdavky najmä  na  energie v sume 129 118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výdavky na poštové služby v sume 32 288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a komunikačnú infraštruktúru – internet, mandátne certifikáty v sume 55 999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Materiál - </w:t>
      </w:r>
      <w:r w:rsidRPr="001B47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633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 481 932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</w:t>
      </w:r>
      <w:r w:rsidR="001B471C"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481 987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V porovnaní s rokom 2016 (čerpanie v sume </w:t>
      </w:r>
      <w:r w:rsidR="001B471C"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152 266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€)  ide o zvýšenie v sume 329 666 € najmä z dôvodu nárastu nákladov na prevádzkové stroje, výpočtovú techniku a softvér.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 na tejto položke boli zabezpečené najmä výdavky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nákup výpočtovej technika v sume 251 923 € (v roku 2016 v sume 13 976 €), na nákup prevádzkových zariadení v sume 69 042 € (v roku 2016 v sume 23 845 €), 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na  nákup materiálu, hlavne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nákup kancelárskych potrieb, kancelárskeho </w:t>
      </w:r>
      <w:r w:rsidRPr="001B471C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papiera, tonerov, vodoinštalačného a elektroinštalačného materiálu v sume </w:t>
      </w:r>
      <w:r w:rsidR="001B471C" w:rsidRPr="001B471C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54 596</w:t>
      </w:r>
      <w:r w:rsidRPr="001B471C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,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B471C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výdavky na softvér v sume 70 319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 (v roku 2016 v sume </w:t>
      </w:r>
      <w:r w:rsidRPr="001B471C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13 335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€). 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Dopravné - </w:t>
      </w:r>
      <w:r w:rsidRPr="001B47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634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32 112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 99,99 %  k upravenému rozpočtu, ktorý predstavoval sumu  32 115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na tejto položke boli zabezpečené najmä výdavky na pohonné hmoty, mazivá a oleje v sume 17 523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a ostatné výdavky na servis, údržbu, povinné zákonné poistenie, diaľničné známky a parkovné.</w:t>
      </w:r>
    </w:p>
    <w:p w:rsidR="00A22D10" w:rsidRPr="001B471C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7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Rutinná a štandardná údržba - </w:t>
      </w:r>
      <w:r w:rsidRPr="001B47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635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42 226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1B471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   </w:t>
      </w:r>
      <w:r w:rsidRPr="001B471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42 228 </w:t>
      </w:r>
      <w:r w:rsidRPr="001B4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         </w:t>
      </w:r>
    </w:p>
    <w:p w:rsidR="00A22D10" w:rsidRPr="00E96BE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Čerpanými finančnými prostriedkami na tejto položke boli zabezpečené najmä výdavky spojené s 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údržbou prevádzkových strojov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prístrojov a zariadení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sume 6 829 € a s údržbou softvéru  v sume 25 296 €.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Nájomné za nájom - </w:t>
      </w:r>
      <w:r w:rsidRPr="00E96BE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636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21 683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(v roku 2016 v sume </w:t>
      </w:r>
      <w:r w:rsidR="00E96BE3"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6 595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€)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 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99,99 %  k upravenému rozpočtu, ktorý predstavoval sumu  21 685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E96BE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Čerpanými finančnými prostriedkami na tejto položke boli zabezpečené najmä výdavky na platby za nájom budov a objektov (byty pre sudcov), nájom dopravných prostriedkov a výpočtovej techniky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Služby - </w:t>
      </w:r>
      <w:r w:rsidRPr="00E96BE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637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bola  čerpaná  v  sume   697 386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 (v roku 2016 v sume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602 811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€, z toho mimoriadne výdavky na doplatenie platov sudcov v sume v sume 173 401 €)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 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697 411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</w:t>
      </w:r>
    </w:p>
    <w:p w:rsidR="00A22D10" w:rsidRPr="00E96BE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Finančné prostriedky na tejto položke boli vynaložené najmä na výdavky na školenie, semináre, konferencie  v sume 25 765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výdavky na  upratovacie služby, 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informačné služby, tlmočenia a preklady, 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sťahovacie a manipulačné služby</w:t>
      </w:r>
      <w:r w:rsidRPr="00E96BE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, výdavky v zmysle zmluvy o výpožičke s Ministerstvom spravodlivosti </w:t>
      </w:r>
      <w:r w:rsidRPr="00E96BE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SR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sume 93 339 € (v roku 2016 v sume 46 939 €), výdavky na špeciálne služby: právne služby, BOZP, ochrana osobných údajov v sume 101 395 € (v roku 2016 v sume 11 211 €), výdavky spojené s náhradami za preventívnu rehabilitáciu sudcov a lekárske prehliadky a s náhradami za súdne trovy v sume  36 133 €, výdavky na stravovanie zamestnancov  v sume  139 255 € (v  roku 2016  v sume 117 546 €),   prídel do sociálneho fondu v sume   118 411 €, výdavky na odmeny pre zamestnancov vykonávajúcich práce mimo pracovného pomeru v sume  58 604 € (v roku 2016 v sume 33 094 €) a výdavky na služby v oblasti informačno-komunikačných  technológií v sume 83 598 €.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</w:pPr>
    </w:p>
    <w:p w:rsidR="00A22D10" w:rsidRPr="00E96BE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V zmysle zmluvy o výpožičke uzatvorenej s  Ministerstvom spravodlivosti Slovenskej republiky  využíva najvyšší súd ako sídlo budovu Ministerstva spravodlivosti Slovenskej republiky na Župnom námestí. Kapitola najvyšší súd refunduje Ministerstvu spravodlivosti Slovenskej republiky  50,93% z celkových nákladov  na prevádzku budovy  a  nedokáže ovplyvniť výšku nákladov a výber dodávateľov, ktoré sú v kompetencii </w:t>
      </w:r>
      <w:r w:rsidRPr="00E96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Ministerstva spravodlivosti Slovenskej republiky ako správcu  budovy.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roku 2017 </w:t>
      </w:r>
      <w:r w:rsidR="00E96BE3"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najvyšší súd refundoval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Ministerstvu spravodlivosti Slovenskej republiky výdavky na prevádzku budovy v  </w:t>
      </w:r>
      <w:r w:rsidRPr="00E9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sume 137 242 € . </w:t>
      </w:r>
    </w:p>
    <w:p w:rsidR="00A22D10" w:rsidRPr="00E96BE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ar-SA"/>
        </w:rPr>
      </w:pP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Kategória 640 </w:t>
      </w:r>
      <w:r w:rsidRPr="00E96BE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– </w:t>
      </w:r>
      <w:r w:rsidRPr="00E96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Bežné transfery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ar-SA"/>
        </w:rPr>
      </w:pPr>
    </w:p>
    <w:p w:rsidR="00A22D10" w:rsidRPr="00E96BE3" w:rsidRDefault="00A22D10" w:rsidP="00A22D10">
      <w:pPr>
        <w:widowControl w:val="0"/>
        <w:shd w:val="clear" w:color="auto" w:fill="FFFFFF"/>
        <w:tabs>
          <w:tab w:val="left" w:pos="-5529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Bežné transfery – kategória 640 bola čerpaná v sume 168 738 €, t. j. na 100,00 % k upravenému rozpočtu, ktorý predstavoval sumu 168 739 €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E96BE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Čerpanie na jednotlivých položkách je nasledovné: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Transfery jednotlivcom - </w:t>
      </w:r>
      <w:r w:rsidRPr="00E96BE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položka 642 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bola  čerpaná  v  sume 16</w:t>
      </w:r>
      <w:r w:rsidR="00E96BE3"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678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 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     100,00 %  k upravenému rozpočtu, ktorý predstavoval sumu  163 679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na tejto položke boli zabezpečené najmä výdavky na  odchodné 3 sudcov  v sume 106 704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€, 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výdavky na príplatky k nemocenskému sudcov v sume 32 484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  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Transfery do zahraničia - </w:t>
      </w:r>
      <w:r w:rsidRPr="00E96BE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položka 649  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bola  čerpaná  v  sume  5 060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96BE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  na     100,00 %  k upravenému rozpočtu, ktorý predstavoval sumu  5 060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E96BE3" w:rsidRDefault="00A22D10" w:rsidP="00A22D10">
      <w:pPr>
        <w:widowControl w:val="0"/>
        <w:shd w:val="clear" w:color="auto" w:fill="FFFFFF"/>
        <w:tabs>
          <w:tab w:val="left" w:pos="288"/>
          <w:tab w:val="left" w:pos="8364"/>
        </w:tabs>
        <w:suppressAutoHyphens/>
        <w:autoSpaceDE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Čerpanými finančnými prostriedkami boli uhradené príspevky za členstvo najvyššieho súdu  v  medzinárodných inštitúciách.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ar-SA"/>
        </w:rPr>
      </w:pP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Kategória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710 - </w:t>
      </w:r>
      <w:r w:rsidRPr="00E96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Obstaranie kapitálových aktív</w:t>
      </w:r>
      <w:r w:rsidRPr="00E9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ar-SA"/>
        </w:rPr>
      </w:pPr>
    </w:p>
    <w:p w:rsidR="00A22D10" w:rsidRPr="00E96BE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ab/>
      </w:r>
      <w:r w:rsidRPr="00E96BE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Kategória bola čerpaná v sume 284 80</w:t>
      </w:r>
      <w:r w:rsidR="00E96BE3" w:rsidRPr="00E96BE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1</w:t>
      </w:r>
      <w:r w:rsidRPr="00E96BE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 (v roku 2016 v sume 7 813 </w:t>
      </w:r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€), </w:t>
      </w:r>
      <w:proofErr w:type="spellStart"/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E96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99,97 % k upravenému rozpočtu, ktorý prestavoval sumu 284 875 €. 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Nákup pozemkov a nehmotných aktív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– položka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711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bola čerpaná v sume 9 514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 (nákup licencie softvéru)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99,99 % k upravenému rozpočtu, ktorý predstavoval sumu   </w:t>
      </w:r>
      <w:r w:rsidR="00E96BE3"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9 515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Nákup strojov, prístrojov, zariadení, techniky a náradia – položka 713  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bola čerpaná v sume 115 721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 (nákup servera, komunikačnej infraštruktúry, zariadenia objektovej bezpečnosti)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99,94 % k upravenému rozpočtu, ktorý predstavoval sumu 115 793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Prípravná a projektová dokumentácia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– položka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716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bola čerpaná v sume 128 664 €, t. j. na 100,00 % z upravenému rozpočtu, ktorý predstavoval sumu   128 664 €.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Realizácia stavieb a ich technického zhodnotenia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– položka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717 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bola čerpaná v sume 26 783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 (obstaranie elektroinštalácie)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100,00 % k upravenému rozpočtu, ktorý predstavoval sumu 26 783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Rekonštrukcia a modernizácia strojov a zariadení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– položka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6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718 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bola čerpaná v sume 4 119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 (obstaranie rozšírenia komunikačnej infraštruktúry)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99,98 % k upravenému rozpočtu, ktorý predstavoval sumu 4 120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0617D6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ar-SA"/>
        </w:rPr>
      </w:pPr>
    </w:p>
    <w:p w:rsidR="00A22D10" w:rsidRPr="000617D6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Z toho podprogram 0EK05:</w:t>
      </w:r>
    </w:p>
    <w:p w:rsidR="00A22D10" w:rsidRPr="000617D6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Kategória 630 </w:t>
      </w:r>
      <w:r w:rsidRPr="000617D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- </w:t>
      </w:r>
      <w:r w:rsidRPr="0006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Tovary a služby</w:t>
      </w:r>
    </w:p>
    <w:p w:rsidR="00A22D10" w:rsidRPr="000617D6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0617D6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Plnenie   rozpočtu   výdavkov   na   „Tovary a  služby“ -  kategória 630</w:t>
      </w:r>
      <w:r w:rsidRPr="00061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 štruktúre </w:t>
      </w:r>
    </w:p>
    <w:p w:rsidR="00A22D10" w:rsidRPr="000617D6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úrovne položiek poskytuje nasledovný prehľad: 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ar-SA"/>
        </w:rPr>
      </w:pP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Tovary a služby – kategória 630 bola čerpaná v sume 517 766 €, t. j. na 99,99 % k upravenému rozpočtu, ktorý predstavoval sumu 517 818 €. </w:t>
      </w:r>
      <w:r w:rsidRPr="000617D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Čerpanie na jednotlivých </w:t>
      </w:r>
      <w:r w:rsidRPr="000617D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>položkách je nasledovné: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Energie, voda a komunikácie - </w:t>
      </w:r>
      <w:r w:rsidRPr="0006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položka 632</w:t>
      </w:r>
      <w:r w:rsidRPr="000617D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75 260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0617D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75 263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0617D6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na tejto položke boli zabezpečené výdavky najmä  na  kvalifikované certifikáty pre elektronický podpis, internet v sume 55 999 </w:t>
      </w:r>
      <w:r w:rsidRPr="000617D6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0617D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</w:p>
    <w:p w:rsidR="00A22D10" w:rsidRPr="008C1ED5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E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Materiál - </w:t>
      </w:r>
      <w:r w:rsidRPr="008C1ED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633</w:t>
      </w:r>
      <w:r w:rsidRPr="008C1ED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 328 671 </w:t>
      </w:r>
      <w:r w:rsidRPr="008C1ED5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8C1ED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8C1ED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99,99  %  k upravenému rozpočtu, ktorý predstavoval sumu  328 718 </w:t>
      </w:r>
      <w:r w:rsidRPr="008C1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Čerpanými finančnými prostriedkami  na tejto položke boli zabezpečené najmä výdavky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na nákup výpočtovej technika v sume 251 923 € (v roku 2016 v sume 13 976 €),</w:t>
      </w:r>
      <w:r w:rsidRPr="004F2ED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výdavky na softvér v sume 70 319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 (v roku 2016 v sume </w:t>
      </w:r>
      <w:r w:rsidRPr="00ED42D3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13 335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€). 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Rutinná a štandardná údržba - </w:t>
      </w:r>
      <w:r w:rsidRPr="00ED42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635</w:t>
      </w:r>
      <w:r w:rsidRPr="00ED42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29 591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D42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   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29 592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         </w:t>
      </w:r>
    </w:p>
    <w:p w:rsidR="00A22D10" w:rsidRPr="00ED42D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Čerpanými finančnými prostriedkami na tejto položke boli zabezpečené najmä výdavky spojené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s údržbou softvéru  v sume 25 296 €.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Nájomné za nájom - </w:t>
      </w:r>
      <w:r w:rsidRPr="00ED42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636</w:t>
      </w:r>
      <w:r w:rsidRPr="00ED42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bola čerpaná v sume 646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D42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 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99,85 %  k upravenému rozpočtu, ktorý predstavoval sumu  647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ED42D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Čerpanými finančnými prostriedkami na tejto položke boli zabezpečené najmä výdavky na platby za nájom výpočtovej techniky.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Služby - </w:t>
      </w:r>
      <w:r w:rsidRPr="00ED42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položka 637</w:t>
      </w:r>
      <w:r w:rsidRPr="00ED42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bola  čerpaná  v  sume   83 598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€, 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t. j. na 100,00 %  k upravenému rozpočtu, ktorý predstavoval sumu  83 598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€. </w:t>
      </w:r>
    </w:p>
    <w:p w:rsidR="00A22D10" w:rsidRPr="00ED42D3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Finančné prostriedky na tejto položke boli vynaložené  na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výdavky na služby v oblasti informačno-komunikačných  technológií.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8364"/>
        </w:tabs>
        <w:suppressAutoHyphens/>
        <w:autoSpaceDE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Kategória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710 - </w:t>
      </w:r>
      <w:r w:rsidRPr="00ED42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Obstaranie kapitálových aktív</w:t>
      </w:r>
      <w:r w:rsidRPr="00ED42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ar-SA"/>
        </w:rPr>
      </w:pP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ab/>
      </w:r>
      <w:r w:rsidRPr="00ED4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Kategória bola čerpaná v sume 69 422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€, </w:t>
      </w:r>
      <w:proofErr w:type="spellStart"/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100,00 % k upravenému rozpočtu, ktorý prestavoval sumu 69 425 €. 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Nákup pozemkov a nehmotných aktív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– položka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711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bola čerpaná v sume 9 514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 (nákup licencie softvéru)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99,99 % k upravenému rozpočtu, ktorý predstavoval sumu    </w:t>
      </w:r>
      <w:r w:rsidR="00ED42D3"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9 515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Nákup strojov, prístrojov, zariadení, techniky a náradia – položka 713  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bola čerpaná v sume 55 7</w:t>
      </w:r>
      <w:r w:rsidR="00ED42D3"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88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 (nákup servera, komunikačnej infraštruktúry)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100,00 % k upravenému rozpočtu, ktorý predstavoval sumu 55 790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A22D10" w:rsidRPr="00ED42D3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D42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Rekonštrukcia a modernizácia strojov a zariadení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– položka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ED42D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718 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bola čerpaná v sume 4 119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 (obstaranie rozšírenia komunikačnej infraštruktúry)</w:t>
      </w:r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t.j</w:t>
      </w:r>
      <w:proofErr w:type="spellEnd"/>
      <w:r w:rsidRPr="00ED42D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na 99,98 % k upravenému rozpočtu, ktorý predstavoval sumu 4 120 </w:t>
      </w:r>
      <w:r w:rsidRPr="00ED42D3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  <w:lang w:eastAsia="ar-SA"/>
        </w:rPr>
        <w:tab/>
        <w:t xml:space="preserve"> 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ar-SA"/>
        </w:rPr>
        <w:tab/>
      </w:r>
      <w:r w:rsidRPr="004F2ED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ar-SA"/>
        </w:rPr>
        <w:t>Bežné a kapitálové transfery</w:t>
      </w:r>
      <w:r w:rsidRPr="004F2ED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príspevkovým organizáciám,  štátnym fondom, občianskym združeniam ani právnickým a fyzickým osobám kapitola v priebehu roka 2017 neposkytla.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ar-SA"/>
        </w:rPr>
      </w:pPr>
    </w:p>
    <w:p w:rsidR="00A22D10" w:rsidRPr="00755EF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755E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Finančné prostriedky poskytnuté na zahraničné aktivity</w:t>
      </w: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E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Členské príspevky vyplývajúce z členstva najvyššieho súdu v zahraničných inštitúciách za rok 2017 predstavovali sumu  5 060 € . Najvyšší súd  je v rámci svojich medzinárodných aktivít členom: </w:t>
      </w: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755EF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Združenia štátnych rád a najvyšších správnych súdov Európskej únie (ACA-</w:t>
      </w:r>
      <w:proofErr w:type="spellStart"/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Europe</w:t>
      </w:r>
      <w:proofErr w:type="spellEnd"/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),</w:t>
      </w: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-  Siete predsedov najvyšších súdov členských štátov Európskej únie,</w:t>
      </w: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5E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  Medzinárodnej asociácie najvyšších správnych súdov – IASAI.</w:t>
      </w:r>
    </w:p>
    <w:p w:rsidR="00A22D10" w:rsidRPr="00755EFE" w:rsidRDefault="00A22D10" w:rsidP="00A22D1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5E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Najvyšší súd na zahraničné pracovné cesty v roku 2017 použil rozpočtové prostriedky v celkovej sume  30 801 €.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2017 bolo celkovo realizovaných  2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zahraničných pracovných ciest. </w:t>
      </w:r>
    </w:p>
    <w:p w:rsidR="00A22D10" w:rsidRPr="004F2EDE" w:rsidRDefault="00A22D10" w:rsidP="00A22D10">
      <w:pPr>
        <w:widowControl w:val="0"/>
        <w:suppressAutoHyphens/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počet tvoria 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sk-SK"/>
        </w:rPr>
        <w:t>5 zahraničných pracovných ciest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predsedníčky najvyššieho súdu JUDr. Daniely Švecovej (stretnutia na najvyššej úrovni: Sieť, ESĽP, SD EÚ, stredná a východná Európa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</w:r>
      <w:r w:rsidR="00F21C64">
        <w:rPr>
          <w:rFonts w:ascii="Times New Roman" w:eastAsia="Times New Roman" w:hAnsi="Times New Roman" w:cs="Times New Roman"/>
          <w:sz w:val="24"/>
          <w:szCs w:val="24"/>
          <w:lang w:eastAsia="sk-SK"/>
        </w:rPr>
        <w:t>, medzinárodná konferencia Najvyššieho súdu ČR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2 zahraničné pracovné cesty podpredsedníčky NS SR JUDr. Jarmily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Urbancovej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(Právnické fórum v Petrohrade, Oslavy výročia NS Helénskej republiky), 1 výjazdové zasadnutie Občianskoprávneho a Obchodnoprávneho kolégia najvyššieho súdu a 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zahraničných pracovných ciest sudcov najvyššieho súdu a zamestnancov kancelárie najvyššieho súdu (medzinárodné konferencie, medzinárodné pracovné rokovania, školenia, semináre, výmenné programy a stáže). Tieto pracovné cesty pokryli hlavné stretnutia súvisiace s členstvom najvyššieho súdu v medzinárodných sieťach a asociáciách, významnejšie medzinárodné konferencie a dôležité koordinačné rokovania týkajúce sa rozhodovacej činnosti sudcov, či systémových otázok justície. Sudcovia najvyššieho súdu a zamestnanci kancelárie najvyššieho súdu sa aj v roku 2017 aktívne zapojili do medzinárodných vzdelávacích aktivít a výmenných programov. 2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 z 2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zahraničných pracovných ciest sa uskutočnilo na území členských štátov EÚ. </w:t>
      </w:r>
    </w:p>
    <w:p w:rsidR="00A22D10" w:rsidRPr="004F2EDE" w:rsidRDefault="00A22D10" w:rsidP="00A22D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Dôvody ciest predsedníčky najvyššieho súdu zahŕňali: riešenie problému zákazu vrátenia alebo vyhostenia ako medzinárodnoprávneho princípu a úlohy súdnictva pri jeho implementácii; 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5BC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„Siete</w:t>
      </w:r>
      <w:r w:rsidRPr="004F2ED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najvyšších súdov“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slúži ako informačná platforma, určená na výmenu informácií medzi najvyššími súdnymi inštanciami v jednotlivých členských krajinách v oblasti judikatúry ESĽP a v súvisiacich otázkach; účasť na stretnutí predsedov najvyšších súdov EÚ pri príležitosti 60. výročia podpisu Rímskych zmlúv, kde boli prerokované otázky ochrany osobných údajov a prínosu Súdneho dvora EÚ k budovaniu Európy; rokovania v geografickom formáte „stredná a východná Európa“ k otázkam nezávislosti súdnictva, financovania súdnictva a budovania verejnej podpory súdnictva;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riešenie výziev v otázke záväzného účinku súdnych rozhodnutí,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účasť na každoročnom stretnutí členov Siete predsedov najvyšších súdov členských štátov EÚ, kde bol predložený návrh spoločnej deklarácie týkajúcej sa zvýšenia nezávislosti najvyšších súdov  prostredníctvom ich rozpočtovej autonómie; rokovanie Siete k vývoju v poľskom súdnictve.     </w:t>
      </w:r>
    </w:p>
    <w:p w:rsidR="00A22D10" w:rsidRPr="004F2EDE" w:rsidRDefault="00A22D10" w:rsidP="00A22D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Podpredsedníčka najvyššieho súdu cestovala na VII. Petrohradské právnické fórum, projekt spustený bývalým prezidentom Ruskej federácie Dmitrijom Medvedevom, určený k upevňovaniu medzinárodných kontaktov, a prijala zdvorilostné pozvanie odchádzajúcej predsedníčky gréckeho najvyššieho súdu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Vassiliki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Thanou-Christophilou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oslavy 182. výročia najvyššieho súdu súčasného Grécka.   </w:t>
      </w:r>
    </w:p>
    <w:p w:rsidR="00A22D10" w:rsidRPr="004F2EDE" w:rsidRDefault="00A22D10" w:rsidP="00A2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Jedinou aktivitou asociácie IASAJ v roku 2017 bol seminár o elektronickom prístupe k súdom v Benátkach, na ktorom sa za najvyššieho súdu nikto nezúčastnil. IASAJ upravil svoju rozpočtovú politiku v súvislosti s výmenným programom IASAJ smerom k rozloženiu nákladov na výmenný program medzi asociáciu a členské súdy v pomere 1:1. V minulosti hradila IASAJ náklady v plnej výške. IASAJ, v spolupráci s Federálnym súdom pre fiškálne a správne právo Spojených štátov Mexických, začala prípravy na kongres, ktorý sa má konať v roku 2019. </w:t>
      </w:r>
    </w:p>
    <w:p w:rsidR="00A22D10" w:rsidRPr="004F2EDE" w:rsidRDefault="00A22D10" w:rsidP="00A2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  <w:t>Valné zhromaždenie ACA-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Europe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, pod dvojročným predsedníctvom Štátnej rady Holandského kráľovstva (2017 – 2018), schválilo svoj rozpočet na ďalší rok a potvrdilo svoju ďalšiu podporu výmennému programu ACA-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Europe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. Delegácia najvyššieho súdu sa zúčastnila seminára o lepšej regulácii a o existujúcich mechanizmoch na európskej úrovni, ktorý je potrebné vnímať v kontexte programu Európskej komisie „Lepšia regulácia“. Preskúmané boli prehľady existujúcich mechanizmov na poskytovanie vstupov a spätnej väzby od súdnej moci k novým a existujúcim právnym predpisom prijímaným zákonodarnou mocou na vnútroštátnej úrovni. Seminára o administratívnych sankciách v európskom práve v Ľubľane a seminára o verejnom poriadku, národnej bezpečnosti a právach štátnych príslušníkov tretích krajín v prípadoch prisťahovalectva a občianstva v Krakove sa za najvyššieho súdu nikto nezúčastnil.</w:t>
      </w:r>
    </w:p>
    <w:p w:rsidR="00A22D10" w:rsidRPr="004F2EDE" w:rsidRDefault="00A22D10" w:rsidP="00A22D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Českej republiky došlo k potvrdeniu a upevneniu nadštandardných vzájomných vzťahov, ktoré sú od roku 2015 intenzívne budované. Dokázateľné je to na 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>ôsmich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zahraničných pracovných cestách smerujúcich na územie Českej republiky, pričom </w:t>
      </w:r>
      <w:proofErr w:type="spellStart"/>
      <w:r w:rsidR="007A5BC5" w:rsidRPr="007A5BC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inter</w:t>
      </w:r>
      <w:proofErr w:type="spellEnd"/>
      <w:r w:rsidR="007A5BC5" w:rsidRPr="007A5BC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7A5BC5" w:rsidRPr="007A5BC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alia</w:t>
      </w:r>
      <w:proofErr w:type="spellEnd"/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išlo o rokovanie o spoločnom postupe pri žiadosti o financovanie spoločných aktivít v rámci programu cezhraničnej spolupráce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Interreg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študijný pobyt sudkyne JUDr. Petry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Príbelskej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Najvyššom správnom súde ČR</w:t>
      </w:r>
      <w:r w:rsidR="007A5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 účasť pani predsedníčky najvyššieho súdu s delegáciou na medzinárodnej konferencii Najvyššieho súdu ČR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 došlo k spoločnému stretnutiu Obchodnoprávneho a Občianskoprávneho kolégia najvyššieho súdu a Občianskoprávneho a obchodného kolégia NS ČR, na ktorom sa prerokovalo množstvo právnych otázok spoločného záujmu.  </w:t>
      </w:r>
    </w:p>
    <w:p w:rsidR="00A22D10" w:rsidRPr="004F2EDE" w:rsidRDefault="00A22D10" w:rsidP="00A22D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cieľom zvyšovania si odborných znalostí a získavania nových zručností sa uskutočnili ďalšie zahraničné cesty sudcov najvyššieho súdu alebo zamestnancov kancelárie najvyššieho súdu. Išlo najmä o kurz verejnej korupcie, organizovaný americkou International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Enforcement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Academy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Budapešti, VII. Petrohradské fórum. XXV. konferenciu Karlovarské právnické dni, stáž na dokumentačnom stredisku ESĽP, či seminár medzinárodnej asociácie sudcov pre utečenecké právo v Berlíne.    </w:t>
      </w:r>
    </w:p>
    <w:p w:rsidR="00A22D10" w:rsidRPr="004F2EDE" w:rsidRDefault="00A22D10" w:rsidP="00A22D10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Účasť zástupcov najvyššieho súdu  na zahraničných pracovných cestách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>o.i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zdôrazňuje posilňovanie európskych väzieb najvyššieho súdu. Hlavným prínosom zahraničných pracovných ciest bolo zvyšovanie odbornej kvalifikácie najmä z oblasti európskeho práva a rozhodovacej činnosti európskych inštitúcií a taktiež výmena skúseností s kolegami sudcami z iných európskych krajín. Nespochybniteľným pozitívom zahraničných ciest je aj udržanie a rozvoj doterajších a získavanie nových kontaktov. </w:t>
      </w:r>
      <w:r w:rsidRPr="004F2EDE">
        <w:rPr>
          <w:rFonts w:ascii="Times New Roman" w:hAnsi="Times New Roman" w:cs="Times New Roman"/>
          <w:sz w:val="24"/>
          <w:szCs w:val="24"/>
          <w:lang w:eastAsia="sk-SK"/>
        </w:rPr>
        <w:t>Prehľad jednotlivých zahraničných pracovných ciest predstaviteľov najvyššieho súdu  v roku 201</w:t>
      </w:r>
      <w:r w:rsidR="00755EFE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Pr="004F2EDE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1FA" w:rsidRDefault="008D71FA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2D10" w:rsidRPr="00755EFE" w:rsidRDefault="00755EFE" w:rsidP="00755EFE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06 Kapitola</w:t>
      </w:r>
    </w:p>
    <w:tbl>
      <w:tblPr>
        <w:tblpPr w:leftFromText="180" w:rightFromText="180" w:vertAnchor="text" w:horzAnchor="margin" w:tblpXSpec="center" w:tblpY="3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02"/>
        <w:gridCol w:w="1842"/>
        <w:gridCol w:w="2940"/>
        <w:gridCol w:w="12"/>
        <w:gridCol w:w="2293"/>
      </w:tblGrid>
      <w:tr w:rsidR="007A5BC5" w:rsidRPr="00616C90" w:rsidTr="00ED42D3">
        <w:trPr>
          <w:trHeight w:val="131"/>
        </w:trPr>
        <w:tc>
          <w:tcPr>
            <w:tcW w:w="420" w:type="dxa"/>
          </w:tcPr>
          <w:p w:rsidR="007A5BC5" w:rsidRPr="00616C90" w:rsidRDefault="007A5BC5" w:rsidP="00090D06">
            <w:pPr>
              <w:spacing w:after="0"/>
              <w:jc w:val="center"/>
              <w:rPr>
                <w:b/>
                <w:lang w:eastAsia="sk-SK"/>
              </w:rPr>
            </w:pPr>
          </w:p>
        </w:tc>
        <w:tc>
          <w:tcPr>
            <w:tcW w:w="1702" w:type="dxa"/>
            <w:vAlign w:val="center"/>
          </w:tcPr>
          <w:p w:rsidR="007A5BC5" w:rsidRPr="00616C90" w:rsidRDefault="007A5BC5" w:rsidP="00090D06">
            <w:pPr>
              <w:spacing w:after="0"/>
              <w:jc w:val="center"/>
            </w:pPr>
            <w:r w:rsidRPr="00616C90">
              <w:rPr>
                <w:b/>
                <w:lang w:eastAsia="sk-SK"/>
              </w:rPr>
              <w:t>dátum</w:t>
            </w:r>
          </w:p>
        </w:tc>
        <w:tc>
          <w:tcPr>
            <w:tcW w:w="1842" w:type="dxa"/>
            <w:vAlign w:val="center"/>
          </w:tcPr>
          <w:p w:rsidR="007A5BC5" w:rsidRPr="00616C90" w:rsidRDefault="007A5BC5" w:rsidP="00090D06">
            <w:pPr>
              <w:spacing w:after="0"/>
              <w:jc w:val="center"/>
            </w:pPr>
            <w:r w:rsidRPr="00616C90">
              <w:rPr>
                <w:b/>
                <w:lang w:eastAsia="sk-SK"/>
              </w:rPr>
              <w:t>miesto konania</w:t>
            </w:r>
          </w:p>
        </w:tc>
        <w:tc>
          <w:tcPr>
            <w:tcW w:w="2952" w:type="dxa"/>
            <w:gridSpan w:val="2"/>
            <w:vAlign w:val="center"/>
          </w:tcPr>
          <w:p w:rsidR="007A5BC5" w:rsidRPr="00616C90" w:rsidRDefault="007A5BC5" w:rsidP="00090D06">
            <w:pPr>
              <w:spacing w:after="0"/>
              <w:jc w:val="center"/>
            </w:pPr>
            <w:r w:rsidRPr="00616C90">
              <w:rPr>
                <w:b/>
                <w:lang w:eastAsia="sk-SK"/>
              </w:rPr>
              <w:t>názov podujatia</w:t>
            </w:r>
          </w:p>
        </w:tc>
        <w:tc>
          <w:tcPr>
            <w:tcW w:w="2293" w:type="dxa"/>
            <w:vAlign w:val="center"/>
          </w:tcPr>
          <w:p w:rsidR="007A5BC5" w:rsidRPr="00616C90" w:rsidRDefault="007A5BC5" w:rsidP="00090D06">
            <w:pPr>
              <w:spacing w:after="0"/>
              <w:jc w:val="center"/>
            </w:pPr>
            <w:r w:rsidRPr="00616C90">
              <w:rPr>
                <w:b/>
                <w:lang w:eastAsia="sk-SK"/>
              </w:rPr>
              <w:t>pozýva/organizuje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11.1.2017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Brno, CZ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Pracovná cesta - ODAK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Najvyšší súd ČR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16.1. – 3.2.2017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Praha, CZ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 xml:space="preserve">Študijný pobyt 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Právnická fakulta Univerzity Karlovej v Prahe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3.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27.1.2017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Štrasburg, FR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Otvorenie justičného roka 2017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ESĽP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4.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21.2.2017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Brno, CZ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Pracovná cesta – predsedníčka Občianskoprávneho kolégia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Najvyšší súd ČR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5.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26. – 28.3.2017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Luxemburg, LU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Stretnutie sudcov pri príležitosti 60. výročia podpisu Rímskych zmlúv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Súdny dvor EÚ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6.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16. – 18.5.2017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Londýn, UK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Pracovná cesta- hovorca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Najvyšší súd UK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7.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14. – 16.5.2017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Haag, NL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Valné zhromaždenie ACA-</w:t>
            </w:r>
            <w:proofErr w:type="spellStart"/>
            <w:r>
              <w:t>Europe</w:t>
            </w:r>
            <w:proofErr w:type="spellEnd"/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Štátna rada NL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8.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17. – 19.5.2017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Paríž, FR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20. medzinárodná súdna konferencia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proofErr w:type="spellStart"/>
            <w:r>
              <w:t>Furthova</w:t>
            </w:r>
            <w:proofErr w:type="spellEnd"/>
            <w:r>
              <w:t xml:space="preserve"> nadácia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9.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16. – 20.5.2017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Petrohrad, RU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7. Petrohradské právnické fórum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Ministerstvo spravodlivosti RU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10.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4. – 7.6.2017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Budapešť, HU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7. Konferencia predsedov najvyšších súdov strednej a východnej Európy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Kúria (NS HU)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11.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5. – 9.6.2017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Budapešť, HU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Školenie: kurz verejnej korupcie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ILEA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12.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8. – 10.6.2017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Atény, EL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Oslavy 182. výročia NS v súčasnom Grécku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Najvyšší súd EL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13.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8. – 10.6.2017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Karlove Vary, CZ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25. Konferencia karlovarské právnické dni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Spoločnosť českých, nemeckých, slovenských a rakúskych právnikov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14.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11. – 13.6.2017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Berlín, DE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Seminár: medzinárodná asociácia sudcov pre utečenecké právo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IARLJ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15.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15. – 17.6.2017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Štrasburg, FR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Prvé fórum styčných osôb členov Siete najvyšších súdov ESĽP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ESĽP - SCN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16.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19. – 20.6.2017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Štrasburg, FR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Stáž: ESĽP – dokumentačné stredisko súdu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ESĽP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17.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19. – 21.6.2017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Brno, CZ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Medzinárodná konferencia NS ČR: „Záväzný účinok súdnych rozhodnutí“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Najvyšší súd ČR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18.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21. – 23.8.2017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Viedeň, AT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8. zasadnutie Medzivládnej pracovnej skupiny pre predchádzanie korupcie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UNODC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lastRenderedPageBreak/>
              <w:t>19.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24. – 25.8.2017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Viedeň, AT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Prípravné stretnutie k spusteniu Globálnej siete súdnej integrity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UNODC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20.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10. – 11.9.2017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Luxemburg, LU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Stretnutie súdnej siete SD EÚ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Súdny dvor EÚ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21.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18. – 20.9.2017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Luhačovice, CZ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Spoločné stretnutie Obchodnoprávneho a Občianskoprávneho kolégia NS SR a Občianskoprávneho a obchodného kolégia ČR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Najvyšší súd ČR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22.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21. – 22.9.2017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Belehrad, RS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Konferencia o správnom súdnictve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Správy súd RS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23.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21. – 22.9.2017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Brno, CZ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Konferencia České právo a informačné technológie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Ústav práva a technológií PF Masarykovej univerzity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24.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5. – 6.10.2017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Ľubľana, SI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Seminár: administratívna spolupráca v daňových veciach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Európska komisia + AEAJ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25.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18. – 21.10.2017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proofErr w:type="spellStart"/>
            <w:r>
              <w:t>Trevír</w:t>
            </w:r>
            <w:proofErr w:type="spellEnd"/>
            <w:r>
              <w:t>, DE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Kongres pri príležitosti 25. výročia vzniku Akadémie európskeho práva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ERA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26.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19. – 22.10.2017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Tallin, EE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Stretnutie siete predsedov najvyšších súdov EÚ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Najvyšší súd EE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27.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23. – 27.10.2017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BE/NL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Výmenný program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AIAKOS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28.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30.10 – 10.11.2017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Default="007A5BC5" w:rsidP="00090D06">
            <w:pPr>
              <w:spacing w:after="0"/>
              <w:jc w:val="center"/>
            </w:pPr>
            <w:r>
              <w:t>Brno, CZ</w:t>
            </w:r>
          </w:p>
        </w:tc>
        <w:tc>
          <w:tcPr>
            <w:tcW w:w="2940" w:type="dxa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Výmenný program ACA-</w:t>
            </w:r>
            <w:proofErr w:type="spellStart"/>
            <w:r>
              <w:t>Europe</w:t>
            </w:r>
            <w:proofErr w:type="spellEnd"/>
          </w:p>
        </w:tc>
        <w:tc>
          <w:tcPr>
            <w:tcW w:w="2305" w:type="dxa"/>
            <w:gridSpan w:val="2"/>
            <w:shd w:val="clear" w:color="auto" w:fill="auto"/>
          </w:tcPr>
          <w:p w:rsidR="007A5BC5" w:rsidRDefault="007A5BC5" w:rsidP="00090D06">
            <w:pPr>
              <w:spacing w:after="0"/>
              <w:jc w:val="center"/>
            </w:pPr>
            <w:r>
              <w:t>Najvyšší správny súd ČR</w:t>
            </w:r>
          </w:p>
        </w:tc>
      </w:tr>
      <w:tr w:rsidR="007A5BC5" w:rsidRPr="00616C90" w:rsidTr="00ED42D3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20" w:type="dxa"/>
          </w:tcPr>
          <w:p w:rsidR="007A5BC5" w:rsidRDefault="007A5BC5" w:rsidP="00090D06">
            <w:pPr>
              <w:spacing w:after="0"/>
              <w:jc w:val="center"/>
            </w:pPr>
            <w:r>
              <w:t>29.</w:t>
            </w:r>
          </w:p>
        </w:tc>
        <w:tc>
          <w:tcPr>
            <w:tcW w:w="170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23. – 24.11.2017</w:t>
            </w:r>
          </w:p>
        </w:tc>
        <w:tc>
          <w:tcPr>
            <w:tcW w:w="1842" w:type="dxa"/>
            <w:shd w:val="clear" w:color="auto" w:fill="auto"/>
            <w:noWrap/>
          </w:tcPr>
          <w:p w:rsidR="007A5BC5" w:rsidRPr="00616C90" w:rsidRDefault="007A5BC5" w:rsidP="00090D06">
            <w:pPr>
              <w:spacing w:after="0"/>
              <w:jc w:val="center"/>
            </w:pPr>
            <w:r>
              <w:t>Brusel, BE</w:t>
            </w:r>
          </w:p>
        </w:tc>
        <w:tc>
          <w:tcPr>
            <w:tcW w:w="2940" w:type="dxa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Výročné zasadnutie sudcov AECLJ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7A5BC5" w:rsidRPr="00616C90" w:rsidRDefault="007A5BC5" w:rsidP="00090D06">
            <w:pPr>
              <w:spacing w:after="0"/>
              <w:jc w:val="center"/>
            </w:pPr>
            <w:r>
              <w:t>AECLJ</w:t>
            </w:r>
          </w:p>
        </w:tc>
      </w:tr>
    </w:tbl>
    <w:p w:rsidR="00A22D10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</w:p>
    <w:p w:rsidR="008D71FA" w:rsidRPr="004F2EDE" w:rsidRDefault="008D71FA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  <w:lang w:eastAsia="ar-SA"/>
        </w:rPr>
      </w:pPr>
    </w:p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ar-SA"/>
        </w:rPr>
      </w:pPr>
    </w:p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</w:pP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  <w:t>1.3.2. Výdavky kapitoly podľa funkčnej klasifikácie</w:t>
      </w:r>
    </w:p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3"/>
          <w:lang w:eastAsia="ar-SA"/>
        </w:rPr>
      </w:pPr>
    </w:p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</w:pP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</w:r>
      <w:r w:rsidRPr="00F21C64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ab/>
        <w:t xml:space="preserve">         </w:t>
      </w:r>
      <w:r w:rsidRPr="00F21C6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v  EUR</w:t>
      </w:r>
    </w:p>
    <w:p w:rsidR="00A22D10" w:rsidRPr="00F21C64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7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6"/>
        <w:gridCol w:w="1078"/>
        <w:gridCol w:w="894"/>
        <w:gridCol w:w="1440"/>
        <w:gridCol w:w="1418"/>
        <w:gridCol w:w="1606"/>
      </w:tblGrid>
      <w:tr w:rsidR="00F21C64" w:rsidRPr="00F21C64" w:rsidTr="003332F8">
        <w:trPr>
          <w:trHeight w:hRule="exact" w:val="68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Oddiel</w:t>
            </w:r>
          </w:p>
        </w:tc>
        <w:tc>
          <w:tcPr>
            <w:tcW w:w="10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Skupina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Trieda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Schválený </w:t>
            </w:r>
            <w:r w:rsidRPr="00F21C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rozpočet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5" w:righ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Upravený </w:t>
            </w:r>
            <w:r w:rsidRPr="00F21C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rozpočet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Skutočnosť</w:t>
            </w: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1C64" w:rsidRPr="00F21C64" w:rsidTr="003332F8">
        <w:trPr>
          <w:trHeight w:hRule="exact" w:val="705"/>
        </w:trPr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03.3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03.3.0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6" w:space="0" w:color="auto"/>
            </w:tcBorders>
            <w:shd w:val="clear" w:color="auto" w:fill="FFFFFF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</w:p>
          <w:p w:rsidR="00A22D10" w:rsidRPr="00F21C64" w:rsidRDefault="00F21C64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11 811 533</w:t>
            </w:r>
            <w:r w:rsidR="00A22D10" w:rsidRPr="00F21C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6" w:space="0" w:color="auto"/>
            </w:tcBorders>
            <w:shd w:val="clear" w:color="auto" w:fill="FFFFFF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12 673 568</w:t>
            </w:r>
          </w:p>
        </w:tc>
        <w:tc>
          <w:tcPr>
            <w:tcW w:w="1606" w:type="dxa"/>
            <w:tcBorders>
              <w:top w:val="doub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</w:p>
          <w:p w:rsidR="00A22D10" w:rsidRPr="00F21C64" w:rsidRDefault="00A22D10" w:rsidP="00A22D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F21C6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12 673 394</w:t>
            </w:r>
          </w:p>
        </w:tc>
      </w:tr>
    </w:tbl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ar-SA"/>
        </w:rPr>
      </w:pPr>
    </w:p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ar-SA"/>
        </w:rPr>
      </w:pPr>
    </w:p>
    <w:p w:rsidR="004709CD" w:rsidRPr="00F21C64" w:rsidRDefault="004709CD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ar-SA"/>
        </w:rPr>
      </w:pPr>
    </w:p>
    <w:p w:rsidR="00A22D10" w:rsidRPr="00F21C64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ar-SA"/>
        </w:rPr>
        <w:tab/>
        <w:t>1.3.3. Výdavky kapitoly  hradené z európskych prostriedkov a spolufinancovania k nim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A22D10" w:rsidRPr="003332F8" w:rsidRDefault="00A22D10" w:rsidP="003332F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Kapitola kancelária najvyššieho súdu nedisponovala v roku 2017 výdavkami na spoločné programy Slovenskej republiky a E</w:t>
      </w:r>
      <w:r w:rsidRPr="004F2E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urópskej únie a ani in</w:t>
      </w:r>
      <w:r w:rsidR="008D71F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ými prostriedkami zo zahraničia</w:t>
      </w: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  <w:lang w:eastAsia="ar-SA"/>
        </w:rPr>
        <w:lastRenderedPageBreak/>
        <w:tab/>
      </w:r>
      <w:r w:rsidRPr="004F2ED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ar-SA"/>
        </w:rPr>
        <w:t>1.3.4. Úpravy pôvodne schváleného rozpočtu výdavkov</w:t>
      </w:r>
    </w:p>
    <w:p w:rsidR="00A22D10" w:rsidRPr="00D70845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Z úrovne Ministerstva financií Slovenskej republiky bolo realizovaných 11 rozpočtových opatrení, ktoré mali vplyv na záväzné ukazovatele  rozpočtu  na úrovni kapitoly. Rozpočtovými opatreniami boli výdavky kapitoly  upravené na 12 673 568  € t. j. zvýšené o 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035 €, a to: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* povolenie prekročenia limitu bežných výdavkov,  kód zdroja 111, v sume  146 200 € a 553 620 €, z toho: program 01W v sume 39 900 € (zvýšené prevádzkové výdavky na 55 nových pracovných miest) a 120 000 € kapitálové výdavky - projektová dokumentácia, podprogram 0EK05 v sume 106 300 € (výdavky na e-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government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výpočtovú techniku) a 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433 620 € bežné výdavky na informačno-komunikačné prostriedky, 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povolenie prekročenia limitu výdavkov,  kód zdroja 111, program 01W v sume                 + 343 805 €, z toho: kategória 610 Mzdy, platy, služobné príjmy a ostatné osobné vyrovnania v sume 258 230 €,   z dôvodu zvýšenia platových taríf, resp. stupnice platových taríf  o  4 % od 01.01.2017 a zvýšenia na úrovni 2 % priznaných funkčných platov v termíne od 01.09.2017 do 31.12.2017 formou odmeny pre zamestnancov rozpočtových organizácií a zvýšenia platových náležitostí sudcov v súvislosti so zvýšením skutočne dosiahnutej priemernej nominálnej mesačnej mzdy  zamestnanca v hospodárstve za rok 2016 zverejnenej Štatistickým úradom Slovenskej republiky;  rozpočtové prostriedky na poistné a odvody do poisťovní vyplývajúce zo zvýšenia mzdových prostriedkov,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*  viazanie rozpočtových prostriedkov a povolenie prekročenia limitu výdavkov, kód zdroja 111, medzi programov 01W +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53 800 €, - 2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400 €, -  2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260 €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podprogramom 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0EK05      - 53 800 , + 2 400 €, + 2 260 €,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viazanie  rozpočtových prostriedkov na mzdy, platy, služobné príjmy a ostatné osobné vyrovnania v sume  - 93 768 € v prospech bežných výdavkov, kód zdroja 111,  program 01W,  kategórie 620 Poistné a odvody do poisťovní + 58 200 €, 640 Transfery + 35 568 € na odchodné sudcu,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viazanie rozpočtových prostriedkov na mzdy, platy, služobné príjmy a ostatné osobné vyrovnania v prospech kapitálových výdavkov z dôvodu zabezpečenia mimoriadnych neplánovaných výdavkov – rekonštrukcia a modernizácia budovy, obstaranie špeciálnych zariadení) , kód zdroja 111,  program 01W,  kategória 710 Obstaranie kapitálových aktív v sume  + 231 700 €,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viazanie limitu bežných výdavkov (kategória 630 Tovary a služby) v prospech kapitálových výdavkov z dôvodu zabezpečenia mimoriadnych neplánovaných výdavkov – obstaranie výpočtovej techniky- serveru, softvéru a komunikačnej infraštruktúry , kód zdroja 111,  v rámci podprogramu 0EK05,  kategória 710 Obstaranie kapitálových aktív v sume  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+ 50 390 € , +</w:t>
      </w:r>
      <w:r w:rsidR="00F21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14 375 €,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viazanie limitu kapitálových výdavkov (v zmysle § 8 ods. 6 zákona č. 523/2004 </w:t>
      </w:r>
      <w:proofErr w:type="spellStart"/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.) presun kapitálových výdavkov za účelom použitia rozpočtových prostriedkov v nasledujúcom  rozpočtovom  roku na rekonštrukciu a modernizáciu budovy,  kód zdroja 111,  program 01W,  v sume  - 181 590 €.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8D71FA" w:rsidRDefault="008D71FA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8D71FA" w:rsidRDefault="008D71FA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D70845" w:rsidRDefault="00D70845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8D71FA" w:rsidRDefault="008D71FA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8D71FA" w:rsidRDefault="008D71FA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8D71FA" w:rsidRDefault="008D71FA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8D71FA" w:rsidRPr="004F2EDE" w:rsidRDefault="008D71FA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A22D10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3332F8" w:rsidRPr="004F2EDE" w:rsidRDefault="003332F8" w:rsidP="00A22D1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709" w:right="584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>1.4.</w:t>
      </w:r>
      <w:r w:rsidRPr="004F2EDE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ar-SA"/>
        </w:rPr>
        <w:t xml:space="preserve">  </w:t>
      </w:r>
      <w:r w:rsidRPr="004F2ED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Finančné operácie</w:t>
      </w:r>
    </w:p>
    <w:p w:rsidR="003332F8" w:rsidRPr="004F2EDE" w:rsidRDefault="003332F8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-22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right="-221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>1.4.1. Príjmové finančné operácie</w:t>
      </w:r>
    </w:p>
    <w:p w:rsidR="00A22D10" w:rsidRPr="00D70845" w:rsidRDefault="00A22D10" w:rsidP="00D70845">
      <w:pPr>
        <w:widowControl w:val="0"/>
        <w:shd w:val="clear" w:color="auto" w:fill="FFFFFF"/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7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Kapitola </w:t>
      </w:r>
      <w:r w:rsidRPr="004F2ED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kancelária najvyššieho súdu</w:t>
      </w:r>
      <w:r w:rsidRPr="004F2E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nemala v roku 2017 žiadne príjmové  finančné operácie.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>1.4.2. Výdavkové finančné operácie</w:t>
      </w:r>
    </w:p>
    <w:p w:rsidR="00A22D10" w:rsidRPr="00D70845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7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7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Kapitola </w:t>
      </w:r>
      <w:r w:rsidRPr="004F2ED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kancelária najvyššieho súdu </w:t>
      </w:r>
      <w:r w:rsidRPr="004F2E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nemala v roku 2017 žiadne výdavkové finančné operácie.</w:t>
      </w:r>
    </w:p>
    <w:p w:rsidR="00A22D10" w:rsidRPr="00D70845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709" w:right="1" w:hanging="709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ar-SA"/>
        </w:rPr>
      </w:pPr>
    </w:p>
    <w:p w:rsidR="003332F8" w:rsidRPr="00D70845" w:rsidRDefault="003332F8" w:rsidP="00D70845">
      <w:pPr>
        <w:widowControl w:val="0"/>
        <w:shd w:val="clear" w:color="auto" w:fill="FFFFFF"/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ar-SA"/>
        </w:rPr>
      </w:pPr>
    </w:p>
    <w:p w:rsidR="00A22D10" w:rsidRPr="00D70845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709" w:right="1" w:hanging="709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left="709" w:right="1" w:hanging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1.5.  Zhodnotenie zamestnanosti</w:t>
      </w:r>
    </w:p>
    <w:p w:rsidR="00A22D10" w:rsidRPr="00D70845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84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Rozpisom záväzných ukazovateľov štátneho rozpočtu na rok 2017 bol počet  zamestnancov stanovený na 280 osôb. Z toho: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:rsidR="00A22D10" w:rsidRPr="004F2EDE" w:rsidRDefault="00A22D10" w:rsidP="00A22D1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85 sudcov,</w:t>
      </w:r>
    </w:p>
    <w:p w:rsidR="00A22D10" w:rsidRPr="004F2EDE" w:rsidRDefault="00A22D10" w:rsidP="00A22D1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174 štátnych zamestnancov,</w:t>
      </w:r>
    </w:p>
    <w:p w:rsidR="00A22D10" w:rsidRPr="004F2EDE" w:rsidRDefault="00A22D10" w:rsidP="00A22D1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21 zamestnancov vo verejnom záujme.</w:t>
      </w:r>
    </w:p>
    <w:p w:rsidR="00A22D10" w:rsidRPr="004F2EDE" w:rsidRDefault="00A22D10" w:rsidP="00A22D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 priebehu roka sa záväzný ukazovateľ už nezvýšil, avšak v mesiaci júl 2017 sa rozhodlo o organizačnej zmene, na základe ktorej sa s účinnosťou k 31. júlu 2017 zrušili  3 pracovné miesta pri výkone práce vo verejnom záujme v organizačnom útvare: ekonomický odbor a s účinnosťou k 1. augustu 2017 sa zriadili 3 štátnozamestnanecké miesta vo funkcii štátny radca – asistent sudcu v organizačnom útvare: oddelenie asistentov sudcov.</w:t>
      </w:r>
    </w:p>
    <w:p w:rsidR="00A22D10" w:rsidRPr="004F2EDE" w:rsidRDefault="00A22D10" w:rsidP="00A22D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Na základe uvedeného bol s účinnosťou od 1. augusta 2017 rozpis záväzných ukazovateľov:</w:t>
      </w:r>
    </w:p>
    <w:p w:rsidR="00A22D10" w:rsidRPr="004F2EDE" w:rsidRDefault="00A22D10" w:rsidP="00A22D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85 sudcov,</w:t>
      </w:r>
    </w:p>
    <w:p w:rsidR="00A22D10" w:rsidRPr="004F2EDE" w:rsidRDefault="00A22D10" w:rsidP="00A22D1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177 štátnych zamestnancov,</w:t>
      </w:r>
    </w:p>
    <w:p w:rsidR="00A22D10" w:rsidRPr="004F2EDE" w:rsidRDefault="00A22D10" w:rsidP="00A22D1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18 zamestnancov vo verejnom záujme.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K 1. januáru 2017 hodnoteného obdobia bol evidenčný stav zamestnancov v zložení:</w:t>
      </w:r>
    </w:p>
    <w:p w:rsidR="00A22D10" w:rsidRPr="004F2EDE" w:rsidRDefault="00A22D10" w:rsidP="00A22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:rsidR="00A22D10" w:rsidRPr="004F2EDE" w:rsidRDefault="00A22D10" w:rsidP="00A22D1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77 sudcov,</w:t>
      </w:r>
    </w:p>
    <w:p w:rsidR="00A22D10" w:rsidRPr="004F2EDE" w:rsidRDefault="00A22D10" w:rsidP="00A22D1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129 štátnych zamestnancov,</w:t>
      </w:r>
    </w:p>
    <w:p w:rsidR="00A22D10" w:rsidRPr="004F2EDE" w:rsidRDefault="00A22D10" w:rsidP="00A22D1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13 zamestnancov vo verejnom záujme.</w:t>
      </w:r>
    </w:p>
    <w:p w:rsidR="00A22D10" w:rsidRPr="004F2EDE" w:rsidRDefault="00A22D10" w:rsidP="00A22D1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Výbery a výberové konania 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V priebehu roka 2017 bolo vyhlásených  celkom 32 výberov a výberových konaní, z toho:</w:t>
      </w:r>
    </w:p>
    <w:p w:rsidR="00A22D10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0845" w:rsidRPr="004F2EDE" w:rsidRDefault="00D70845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27 výberov a výberových konaní na štátnozamestnanecké miesta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•</w:t>
      </w:r>
      <w:r w:rsidRPr="004F2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4  výbery na štátnozamestnanecké miesta v stálej štátnej službe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11 užšie  výberové konania na štátnozamestnanecké miesta v stálej štátnej službe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•  2  vnútorné výberové konania na štátnozamestnanecké miesta v stálej štátnej službe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9  vonkajšie výberové konania na štátnozamestnanecké miesta v stálej štátnej službe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 vonkajšie výberové konanie na štátnozamestnanecké miesto v dočasnej štátnej službe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4F2EDE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1 výberové konanie na pracovné miesto vedúceho zamestnanca – výkon práce vo verejnom záujme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4F2EDE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4 výberové konania na predsedov senátov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4F2ED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• </w:t>
      </w:r>
      <w:r w:rsidRPr="004F2EDE">
        <w:rPr>
          <w:rFonts w:ascii="Times New Roman" w:eastAsia="Times New Roman" w:hAnsi="Times New Roman" w:cs="Calibri"/>
          <w:sz w:val="24"/>
          <w:szCs w:val="24"/>
          <w:lang w:eastAsia="ar-SA"/>
        </w:rPr>
        <w:t>Výberové   konanie na  2  miesta  predsedov senátov NS SR pre správne  kolégium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•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Výberové   konanie na  1  miesto  predsedu senátu NS SR pre obchodnoprávne kolégium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Výberové   konanie na  1  miesto  predsedu senátu NS SR pre občianskoprávne   kolégium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Výberové   konanie na  1  miesto  predsedu senátu NS SR pre trestnoprávne kolégium</w:t>
      </w:r>
    </w:p>
    <w:p w:rsidR="00D70845" w:rsidRDefault="00D70845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Sudcovia  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V priebehu roka 2017 boli na základe výberového konania (prebehlo v roku 2016) preložení na najvyšší súd 4 sudcovia a vo výberovom konaní na vyššiu sudcovskú funkciu predsedu senátu bolo úspešných 5 uchádzačov.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 účinnosťou od 30. júna 2017 nastúpila do funkcie predsedníčky senátu 1 sudkyňa, ktorej skončilo funkčné obdobie predsedníčky Súdnej rady SR a od 10. júla 2017 začala ďalšia sudkyňa najvyššieho súdu po zvolení za predsedníčku Súdnej rady SR vykonávať túto funkciu. Od 1. marca 2017 prerušila jedna sudkyňa výkon funkcie sudcu z dôvodu odchodu do starobného dôchodku, z dôvodu odvolania prezidentom SR zanikla funkcia 1 sudcovi (august 2017) a k 31. decembru 2017 sa vzdala funkcie 1 sudkyňa.</w:t>
      </w:r>
    </w:p>
    <w:p w:rsidR="00A22D10" w:rsidRPr="004F2EDE" w:rsidRDefault="00A22D10" w:rsidP="00A22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Od 1. septembra 2017 začal 1 sudca vykonávať stáž na Ústavnom súde SR, ktorá bude trvať do 31. augusta 2018.</w:t>
      </w:r>
    </w:p>
    <w:p w:rsidR="00A22D10" w:rsidRPr="004F2EDE" w:rsidRDefault="00A22D10" w:rsidP="00A22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 priebehu roka malo 6 sudcov z predošlých období prerušený výkon funkcie sudcu z dôvodu výkonu inej verejnej funkcie (4 sudcovia sú vymenovaní za sudcov Ústavného súdu SR, 1 sudca bol vymenovaný v roku 2015 za predsedu Okresného súdu Žiar nad Hronom, 1 sudkyňa vykonáva funkciu sudcu pre Európsky súd pre ľudské práva). </w:t>
      </w:r>
    </w:p>
    <w:p w:rsidR="00A22D10" w:rsidRPr="004F2EDE" w:rsidRDefault="00A22D10" w:rsidP="00A22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K 31. decembru 2017 bolo vo výkone 83 sudcov, z toho dočasne pridelených na výkon funkcie sudcu z iných súdov bolo 5 sudcov. Sudca vykonávajúci stáž na Ústavnom súde SR sa do výkonu nezapočítava.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Zamestnanci v štátnozamestnaneckom pomere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ab/>
      </w: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Do štátnozamestnaneckého pomeru bolo v roku 2017 prijatých 52 štátnych zamestnancov, z toho 1 na zastupovanie počas materskej a rodičovskej dovolenky.                                  1 zamestnankyňa nastúpila po ukončení rodičovskej dovolenky.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Prehľad čerpania materskej a rodičovskej dovolenky štátnych zamestnankýň (v osobách) k 31. decembru 2017:</w:t>
      </w:r>
    </w:p>
    <w:p w:rsidR="00A22D10" w:rsidRPr="004F2EDE" w:rsidRDefault="00A22D10" w:rsidP="00A22D1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t>15 - čerpanie rodičovskej dovolenky,</w:t>
      </w:r>
    </w:p>
    <w:p w:rsidR="00A22D10" w:rsidRPr="004F2EDE" w:rsidRDefault="00A22D10" w:rsidP="00A22D1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2 - čerpanie materskej dovolenky.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1 štátna zamestnankyňa bola dočasne preložená do Kancelárie Súdnej rady SR na obdobie od 1. júla 2017 do 31. decembra 2017.</w:t>
      </w:r>
    </w:p>
    <w:p w:rsidR="00A22D10" w:rsidRPr="004F2EDE" w:rsidRDefault="00A22D10" w:rsidP="00A22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1 štátna zamestnankyňa začala 11. novembra 2017 čerpať neplatené voľno, ktoré bude trvať do 31. júla 2019.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 priebehu roka ukončilo štátnozamestnanecký pomer, alebo bolo preložených do iného služobného úradu 16 zamestnancov.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Evidenčný stav štátnych zamestnancov k 31. decembru 2017 bol 156 osôb.</w:t>
      </w:r>
    </w:p>
    <w:p w:rsidR="00A22D10" w:rsidRPr="004F2EDE" w:rsidRDefault="00A22D10" w:rsidP="00A22D1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Zamestnanci vo verejnom záujme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ab/>
      </w: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Evidenčný stav zamestnancov vykonávajúcich prácu vo verejnom záujme bol:</w:t>
      </w:r>
    </w:p>
    <w:p w:rsidR="00A22D10" w:rsidRPr="004F2EDE" w:rsidRDefault="00A22D10" w:rsidP="00A22D10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k 1. januáru 2017 13 osôb,</w:t>
      </w:r>
    </w:p>
    <w:p w:rsidR="00A22D10" w:rsidRPr="004F2EDE" w:rsidRDefault="00A22D10" w:rsidP="00A22D10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k 31. decembru 2017 18 osôb. </w:t>
      </w:r>
    </w:p>
    <w:p w:rsidR="00A22D10" w:rsidRPr="004F2EDE" w:rsidRDefault="00A22D10" w:rsidP="00A22D10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 priebehu roka 2017 bolo prijatých 7 zamestnancov vo verejnom záujme. Pracovný pomer skončili 2 zamestnanci, z toho 1 zamestnankyňa výpoveďou zo strany zamestnávateľa (zrušenie miesta) a 1 zamestnanec na základe absolvovania výberového konania prešiel do štátnej služby.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1 miesto bolo ešte z minulého obdobia zrušené, avšak zamestnanec držal v priebehu roka 2017 pracovnú pohotovosť a výpoveď bola v riešení s Ústredím práce, sociálnych vecí a rodiny, nakoľko bol zamestnanec uznaný za invalidného. Výpoveď prevzal v mesiaci december 2017. 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4F2ED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Dohody o prácach vykonávaných mimo pracovného pomeru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priebehu roka 2017 bolo uzatvorených celkom 20 dohôd o prácach vykonávaných mimo pracovného pomeru. 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14 dohôd o vykonaní práce bolo prevažne ekonomického charakteru a týkajúce sa prác súvisiacich s plánovanou rekonštrukciou budovy na Župnom námestí. Ďalšie dohody o vykonaní práce sa týkali odborného poradenstva v oblasti informačných technológií, utajovaných skutočností, komunikačnej stratégie súdu a výkonu lekárskeho dozoru na športovom a kultúrno-pracovnom  podujatí.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 dohody o pracovnej činnosti sa týkali pomocnej knihovníckej činnosti, ekonomického poradenstva a upratovania kancelárskych priestorov.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Súbežný pracovný pomer mali 3 štátni zamestnanci, s ktorými sa uzatvorila dohoda o pracovnej činnosti na výkon činností vrátnika v budove najvyššieho súdu na Nám. SNP. </w:t>
      </w: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2D10" w:rsidRPr="004F2EDE" w:rsidRDefault="00A22D10" w:rsidP="00A22D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 xml:space="preserve">        </w:t>
      </w:r>
    </w:p>
    <w:p w:rsidR="00A22D10" w:rsidRPr="004F2EDE" w:rsidRDefault="00A22D10" w:rsidP="00A2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4F2ED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1.6. Príspevkové organizácie v pôsobnosti kapitoly</w:t>
      </w: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2D10" w:rsidRPr="004F2EDE" w:rsidRDefault="00A22D10" w:rsidP="00A22D10">
      <w:pPr>
        <w:widowControl w:val="0"/>
        <w:shd w:val="clear" w:color="auto" w:fill="FFFFFF"/>
        <w:suppressAutoHyphens/>
        <w:autoSpaceDE w:val="0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pôsobnosti </w:t>
      </w:r>
      <w:r w:rsidRPr="004F2ED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kancelária najvyššieho súdu </w:t>
      </w:r>
      <w:r w:rsidRPr="004F2EDE">
        <w:rPr>
          <w:rFonts w:ascii="Times New Roman" w:eastAsia="Times New Roman" w:hAnsi="Times New Roman" w:cs="Times New Roman"/>
          <w:sz w:val="24"/>
          <w:szCs w:val="24"/>
          <w:lang w:eastAsia="ar-SA"/>
        </w:rPr>
        <w:t>nie je žiadna príspevková organizácia.</w:t>
      </w:r>
    </w:p>
    <w:p w:rsidR="0061543E" w:rsidRPr="004F2EDE" w:rsidRDefault="0061543E"/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Default="00A22D10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Default="00F85B21">
      <w:pPr>
        <w:rPr>
          <w:color w:val="FF0000"/>
        </w:rPr>
      </w:pPr>
    </w:p>
    <w:p w:rsidR="00F85B21" w:rsidRPr="004F2EDE" w:rsidRDefault="00F85B21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Pr="004F2EDE" w:rsidRDefault="00A22D10">
      <w:pPr>
        <w:rPr>
          <w:color w:val="FF0000"/>
        </w:rPr>
      </w:pPr>
    </w:p>
    <w:p w:rsidR="00A22D10" w:rsidRDefault="00A22D10">
      <w:pPr>
        <w:rPr>
          <w:color w:val="FF0000"/>
        </w:rPr>
      </w:pPr>
    </w:p>
    <w:p w:rsidR="00D70845" w:rsidRPr="004F2EDE" w:rsidRDefault="00D70845">
      <w:pPr>
        <w:rPr>
          <w:color w:val="FF0000"/>
        </w:rPr>
      </w:pPr>
    </w:p>
    <w:p w:rsidR="00A22D10" w:rsidRPr="00A22D10" w:rsidRDefault="00A22D10" w:rsidP="00A22D10">
      <w:pPr>
        <w:widowControl w:val="0"/>
        <w:numPr>
          <w:ilvl w:val="0"/>
          <w:numId w:val="4"/>
        </w:numPr>
        <w:shd w:val="clear" w:color="auto" w:fill="FFFFFF"/>
        <w:tabs>
          <w:tab w:val="left" w:pos="-4111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22D10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Tabuľková časť</w:t>
      </w:r>
    </w:p>
    <w:p w:rsidR="00A22D10" w:rsidRPr="00A22D10" w:rsidRDefault="00A22D10" w:rsidP="00A22D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76923C"/>
          <w:spacing w:val="-6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764"/>
        </w:tabs>
        <w:spacing w:after="0" w:line="240" w:lineRule="auto"/>
        <w:ind w:left="240"/>
        <w:rPr>
          <w:rFonts w:ascii="Times New Roman" w:hAnsi="Times New Roman" w:cs="Times New Roman"/>
          <w:b/>
          <w:bCs/>
          <w:color w:val="76923C"/>
          <w:spacing w:val="-6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426"/>
          <w:tab w:val="left" w:pos="198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22D10">
        <w:rPr>
          <w:rFonts w:ascii="Times New Roman" w:hAnsi="Times New Roman" w:cs="Times New Roman"/>
          <w:b/>
          <w:bCs/>
          <w:color w:val="76923C"/>
          <w:spacing w:val="-2"/>
          <w:sz w:val="24"/>
          <w:szCs w:val="24"/>
        </w:rPr>
        <w:t xml:space="preserve">     </w:t>
      </w:r>
      <w:r w:rsidRPr="00A22D1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Tabuľka č. 1    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Celkový prehľad príjmov a výdavkov  kapitoly </w:t>
      </w:r>
    </w:p>
    <w:p w:rsidR="00A22D10" w:rsidRPr="00A22D10" w:rsidRDefault="00A22D10" w:rsidP="00A22D10">
      <w:pPr>
        <w:shd w:val="clear" w:color="auto" w:fill="FFFFFF"/>
        <w:spacing w:after="0" w:line="240" w:lineRule="auto"/>
        <w:ind w:right="-136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426"/>
          <w:tab w:val="left" w:pos="1985"/>
        </w:tabs>
        <w:spacing w:after="0" w:line="240" w:lineRule="auto"/>
        <w:ind w:right="-136"/>
        <w:rPr>
          <w:rFonts w:ascii="Times New Roman" w:hAnsi="Times New Roman" w:cs="Times New Roman"/>
          <w:spacing w:val="1"/>
          <w:sz w:val="24"/>
          <w:szCs w:val="24"/>
        </w:rPr>
      </w:pP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</w:t>
      </w: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  <w:t xml:space="preserve">Tabuľka č. 2    </w:t>
      </w:r>
      <w:r w:rsidRPr="00A22D10">
        <w:rPr>
          <w:rFonts w:ascii="Times New Roman" w:hAnsi="Times New Roman" w:cs="Times New Roman"/>
          <w:spacing w:val="1"/>
          <w:sz w:val="24"/>
          <w:szCs w:val="24"/>
        </w:rPr>
        <w:t xml:space="preserve">Výdavky kapitoly podľa ekonomickej a funkčnej klasifikácie </w:t>
      </w:r>
    </w:p>
    <w:p w:rsidR="00A22D10" w:rsidRPr="00A22D10" w:rsidRDefault="00A22D10" w:rsidP="00A22D10">
      <w:pPr>
        <w:shd w:val="clear" w:color="auto" w:fill="FFFFFF"/>
        <w:spacing w:after="0" w:line="240" w:lineRule="auto"/>
        <w:ind w:left="352" w:right="-136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426"/>
          <w:tab w:val="left" w:pos="1985"/>
        </w:tabs>
        <w:spacing w:after="0" w:line="240" w:lineRule="auto"/>
        <w:ind w:right="-136"/>
        <w:rPr>
          <w:rFonts w:ascii="Times New Roman" w:hAnsi="Times New Roman" w:cs="Times New Roman"/>
          <w:spacing w:val="-1"/>
          <w:sz w:val="24"/>
          <w:szCs w:val="24"/>
        </w:rPr>
      </w:pP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  <w:t xml:space="preserve">Tabuľka č. 3    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Finančné operácie kapitoly </w:t>
      </w:r>
    </w:p>
    <w:p w:rsidR="00A22D10" w:rsidRPr="00A22D10" w:rsidRDefault="00A22D10" w:rsidP="00A22D10">
      <w:pPr>
        <w:shd w:val="clear" w:color="auto" w:fill="FFFFFF"/>
        <w:spacing w:after="0" w:line="240" w:lineRule="auto"/>
        <w:ind w:left="352" w:right="-136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426"/>
          <w:tab w:val="left" w:pos="1985"/>
        </w:tabs>
        <w:spacing w:after="0" w:line="240" w:lineRule="auto"/>
        <w:ind w:right="-136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  <w:t xml:space="preserve">Tabuľka č. 4    </w:t>
      </w:r>
      <w:r w:rsidRPr="00A22D1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Záväzné ukazovatele kapitoly </w:t>
      </w:r>
    </w:p>
    <w:p w:rsidR="00A22D10" w:rsidRPr="00A22D10" w:rsidRDefault="00A22D10" w:rsidP="00A22D10">
      <w:pPr>
        <w:shd w:val="clear" w:color="auto" w:fill="FFFFFF"/>
        <w:spacing w:after="0" w:line="240" w:lineRule="auto"/>
        <w:ind w:left="1628" w:right="-136" w:hanging="1276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426"/>
          <w:tab w:val="left" w:pos="1985"/>
        </w:tabs>
        <w:spacing w:after="0" w:line="240" w:lineRule="auto"/>
        <w:ind w:right="-170"/>
        <w:rPr>
          <w:rFonts w:ascii="Times New Roman" w:hAnsi="Times New Roman" w:cs="Times New Roman"/>
          <w:spacing w:val="-2"/>
          <w:sz w:val="24"/>
          <w:szCs w:val="24"/>
        </w:rPr>
      </w:pP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</w:t>
      </w: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  <w:t>Tabuľka č. 5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    Prehľad príjmov a výdavkov príspevkových organizácií kapitoly</w:t>
      </w:r>
    </w:p>
    <w:p w:rsidR="00A22D10" w:rsidRPr="00A22D10" w:rsidRDefault="00A22D10" w:rsidP="00A22D10">
      <w:pPr>
        <w:shd w:val="clear" w:color="auto" w:fill="FFFFFF"/>
        <w:tabs>
          <w:tab w:val="left" w:pos="1985"/>
          <w:tab w:val="left" w:pos="4112"/>
        </w:tabs>
        <w:spacing w:after="0" w:line="240" w:lineRule="auto"/>
        <w:ind w:left="1985" w:right="-170" w:hanging="1701"/>
        <w:rPr>
          <w:rFonts w:ascii="Times New Roman" w:hAnsi="Times New Roman" w:cs="Times New Roman"/>
          <w:spacing w:val="-1"/>
          <w:sz w:val="24"/>
          <w:szCs w:val="24"/>
        </w:rPr>
      </w:pP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ab/>
        <w:t xml:space="preserve">podľa ekonomickej 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klasifikácie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Kancelária n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>ajvyšš</w:t>
      </w:r>
      <w:r>
        <w:rPr>
          <w:rFonts w:ascii="Times New Roman" w:hAnsi="Times New Roman" w:cs="Times New Roman"/>
          <w:spacing w:val="-1"/>
          <w:sz w:val="24"/>
          <w:szCs w:val="24"/>
        </w:rPr>
        <w:t>ieho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súd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SR nemal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v roku 201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7 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žiadne </w:t>
      </w:r>
      <w:r w:rsidRPr="00A22D10">
        <w:rPr>
          <w:rFonts w:ascii="Times New Roman" w:hAnsi="Times New Roman" w:cs="Times New Roman"/>
          <w:sz w:val="24"/>
          <w:szCs w:val="24"/>
        </w:rPr>
        <w:t>príspevkové organizácie, t. j.</w:t>
      </w:r>
      <w:r w:rsidRPr="00A22D10">
        <w:rPr>
          <w:rFonts w:ascii="Times New Roman" w:hAnsi="Times New Roman" w:cs="Times New Roman"/>
          <w:b/>
          <w:sz w:val="24"/>
          <w:szCs w:val="24"/>
        </w:rPr>
        <w:t xml:space="preserve"> tabuľka nie je k dispozícií</w:t>
      </w:r>
    </w:p>
    <w:p w:rsidR="00A22D10" w:rsidRPr="00A22D10" w:rsidRDefault="00A22D10" w:rsidP="00A22D10">
      <w:pPr>
        <w:shd w:val="clear" w:color="auto" w:fill="FFFFFF"/>
        <w:spacing w:after="0" w:line="240" w:lineRule="auto"/>
        <w:ind w:left="1616" w:right="-136" w:hanging="1264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22D10" w:rsidRPr="00A22D10" w:rsidRDefault="00A22D10" w:rsidP="00A22D10">
      <w:pPr>
        <w:shd w:val="clear" w:color="auto" w:fill="FFFFFF"/>
        <w:tabs>
          <w:tab w:val="left" w:pos="426"/>
          <w:tab w:val="left" w:pos="1985"/>
        </w:tabs>
        <w:spacing w:after="0" w:line="240" w:lineRule="auto"/>
        <w:ind w:right="-136"/>
        <w:rPr>
          <w:rFonts w:ascii="Times New Roman" w:hAnsi="Times New Roman" w:cs="Times New Roman"/>
          <w:spacing w:val="-2"/>
          <w:sz w:val="24"/>
          <w:szCs w:val="24"/>
        </w:rPr>
      </w:pPr>
      <w:r w:rsidRPr="00A22D10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  <w:t>Tabuľka č. 6</w:t>
      </w:r>
      <w:r w:rsidRPr="00A22D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22D1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A22D10">
        <w:rPr>
          <w:rFonts w:ascii="Times New Roman" w:hAnsi="Times New Roman" w:cs="Times New Roman"/>
          <w:bCs/>
          <w:spacing w:val="-2"/>
          <w:sz w:val="24"/>
          <w:szCs w:val="24"/>
        </w:rPr>
        <w:t>Výd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avky príspevkových organizácií kapitoly podľa ekonomickej a funkčnej </w:t>
      </w:r>
    </w:p>
    <w:p w:rsidR="00A22D10" w:rsidRPr="00A22D10" w:rsidRDefault="00A22D10" w:rsidP="00A22D10">
      <w:pPr>
        <w:shd w:val="clear" w:color="auto" w:fill="FFFFFF"/>
        <w:tabs>
          <w:tab w:val="left" w:pos="1985"/>
        </w:tabs>
        <w:spacing w:after="0" w:line="240" w:lineRule="auto"/>
        <w:ind w:left="1616" w:right="-136" w:hanging="1264"/>
        <w:rPr>
          <w:rFonts w:ascii="Times New Roman" w:hAnsi="Times New Roman" w:cs="Times New Roman"/>
          <w:spacing w:val="-2"/>
          <w:sz w:val="24"/>
          <w:szCs w:val="24"/>
        </w:rPr>
      </w:pP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ab/>
        <w:t xml:space="preserve">klasifikácie- </w:t>
      </w:r>
      <w:r>
        <w:rPr>
          <w:rFonts w:ascii="Times New Roman" w:hAnsi="Times New Roman" w:cs="Times New Roman"/>
          <w:spacing w:val="-1"/>
          <w:sz w:val="24"/>
          <w:szCs w:val="24"/>
        </w:rPr>
        <w:t>Kancelária n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>ajvyšš</w:t>
      </w:r>
      <w:r>
        <w:rPr>
          <w:rFonts w:ascii="Times New Roman" w:hAnsi="Times New Roman" w:cs="Times New Roman"/>
          <w:spacing w:val="-1"/>
          <w:sz w:val="24"/>
          <w:szCs w:val="24"/>
        </w:rPr>
        <w:t>ieho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súd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SR 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>nemal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 v roku 201</w:t>
      </w: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 žiadne </w:t>
      </w:r>
    </w:p>
    <w:p w:rsidR="00A22D10" w:rsidRPr="00A22D10" w:rsidRDefault="00A22D10" w:rsidP="00A22D10">
      <w:pPr>
        <w:shd w:val="clear" w:color="auto" w:fill="FFFFFF"/>
        <w:tabs>
          <w:tab w:val="left" w:pos="1985"/>
        </w:tabs>
        <w:spacing w:after="0" w:line="240" w:lineRule="auto"/>
        <w:ind w:left="1616" w:right="-136" w:hanging="126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ab/>
        <w:t>príspevkové</w:t>
      </w:r>
      <w:r w:rsidRPr="00A22D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2D10">
        <w:rPr>
          <w:rFonts w:ascii="Times New Roman" w:hAnsi="Times New Roman" w:cs="Times New Roman"/>
          <w:spacing w:val="-1"/>
          <w:sz w:val="24"/>
          <w:szCs w:val="24"/>
        </w:rPr>
        <w:t xml:space="preserve">organizácie, t. j. </w:t>
      </w:r>
      <w:r w:rsidRPr="00A22D10">
        <w:rPr>
          <w:rFonts w:ascii="Times New Roman" w:hAnsi="Times New Roman" w:cs="Times New Roman"/>
          <w:b/>
          <w:spacing w:val="-1"/>
          <w:sz w:val="24"/>
          <w:szCs w:val="24"/>
        </w:rPr>
        <w:t>tabuľka nie je k dispozícií</w:t>
      </w:r>
    </w:p>
    <w:p w:rsidR="00A22D10" w:rsidRPr="00A22D10" w:rsidRDefault="00A22D10" w:rsidP="00A2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10" w:rsidRPr="00A22D10" w:rsidRDefault="00A22D10" w:rsidP="00A2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10" w:rsidRPr="00A22D10" w:rsidRDefault="00A22D10" w:rsidP="00A2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10" w:rsidRPr="00A22D10" w:rsidRDefault="00A22D10" w:rsidP="00A2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10" w:rsidRDefault="00A22D10"/>
    <w:p w:rsidR="00A22D10" w:rsidRDefault="00A22D10"/>
    <w:p w:rsidR="00A22D10" w:rsidRDefault="00A22D10"/>
    <w:p w:rsidR="00A22D10" w:rsidRDefault="00A22D10"/>
    <w:p w:rsidR="00A22D10" w:rsidRDefault="00A22D10"/>
    <w:p w:rsidR="00A22D10" w:rsidRDefault="00A22D10"/>
    <w:p w:rsidR="00A22D10" w:rsidRDefault="00A22D10"/>
    <w:p w:rsidR="00A22D10" w:rsidRDefault="00A22D10"/>
    <w:sectPr w:rsidR="00A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68" w:rsidRDefault="00E44D68">
      <w:pPr>
        <w:spacing w:after="0" w:line="240" w:lineRule="auto"/>
      </w:pPr>
      <w:r>
        <w:separator/>
      </w:r>
    </w:p>
  </w:endnote>
  <w:endnote w:type="continuationSeparator" w:id="0">
    <w:p w:rsidR="00E44D68" w:rsidRDefault="00E4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 w:rsidP="00F21C6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44D68" w:rsidRDefault="00E44D68" w:rsidP="00F21C6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585470"/>
              <wp:effectExtent l="0" t="0" r="0" b="0"/>
              <wp:wrapSquare wrapText="largest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585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68" w:rsidRDefault="00E44D68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7691A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E44D68" w:rsidRDefault="00E44D68">
                          <w:pPr>
                            <w:pStyle w:val="Pta"/>
                            <w:jc w:val="center"/>
                          </w:pPr>
                        </w:p>
                        <w:p w:rsidR="00E44D68" w:rsidRDefault="00E44D68">
                          <w:pPr>
                            <w:pStyle w:val="Pta"/>
                          </w:pPr>
                        </w:p>
                        <w:p w:rsidR="00E44D68" w:rsidRDefault="00E44D68">
                          <w:pPr>
                            <w:pStyle w:val="Pt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0;margin-top:.05pt;width:19.05pt;height:46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" stroked="f">
              <v:fill opacity="0"/>
              <v:textbox inset="0,0,0,0">
                <w:txbxContent>
                  <w:p w:rsidR="00E44D68" w:rsidRDefault="00E44D68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7691A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E44D68" w:rsidRDefault="00E44D68">
                    <w:pPr>
                      <w:pStyle w:val="Pta"/>
                      <w:jc w:val="center"/>
                    </w:pPr>
                  </w:p>
                  <w:p w:rsidR="00E44D68" w:rsidRDefault="00E44D68">
                    <w:pPr>
                      <w:pStyle w:val="Pta"/>
                    </w:pPr>
                  </w:p>
                  <w:p w:rsidR="00E44D68" w:rsidRDefault="00E44D68">
                    <w:pPr>
                      <w:pStyle w:val="Pt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585470"/>
              <wp:effectExtent l="0" t="0" r="0" b="0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585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68" w:rsidRDefault="00E44D68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7691A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E44D68" w:rsidRDefault="00E44D68">
                          <w:pPr>
                            <w:pStyle w:val="Pta"/>
                            <w:jc w:val="center"/>
                          </w:pPr>
                        </w:p>
                        <w:p w:rsidR="00E44D68" w:rsidRDefault="00E44D68">
                          <w:pPr>
                            <w:pStyle w:val="Pta"/>
                          </w:pPr>
                        </w:p>
                        <w:p w:rsidR="00E44D68" w:rsidRDefault="00E44D68">
                          <w:pPr>
                            <w:pStyle w:val="Pt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0;margin-top:.05pt;width:19.05pt;height:46.1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" stroked="f">
              <v:fill opacity="0"/>
              <v:textbox inset="0,0,0,0">
                <w:txbxContent>
                  <w:p w:rsidR="00E44D68" w:rsidRDefault="00E44D68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7691A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E44D68" w:rsidRDefault="00E44D68">
                    <w:pPr>
                      <w:pStyle w:val="Pta"/>
                      <w:jc w:val="center"/>
                    </w:pPr>
                  </w:p>
                  <w:p w:rsidR="00E44D68" w:rsidRDefault="00E44D68">
                    <w:pPr>
                      <w:pStyle w:val="Pta"/>
                    </w:pPr>
                  </w:p>
                  <w:p w:rsidR="00E44D68" w:rsidRDefault="00E44D68">
                    <w:pPr>
                      <w:pStyle w:val="Pt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585470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585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68" w:rsidRDefault="00E44D68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7691A">
                            <w:rPr>
                              <w:rStyle w:val="slostrany"/>
                              <w:noProof/>
                            </w:rPr>
                            <w:t>17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E44D68" w:rsidRDefault="00E44D68">
                          <w:pPr>
                            <w:pStyle w:val="Pta"/>
                            <w:jc w:val="center"/>
                          </w:pPr>
                        </w:p>
                        <w:p w:rsidR="00E44D68" w:rsidRDefault="00E44D68">
                          <w:pPr>
                            <w:pStyle w:val="Pta"/>
                          </w:pPr>
                        </w:p>
                        <w:p w:rsidR="00E44D68" w:rsidRDefault="00E44D68">
                          <w:pPr>
                            <w:pStyle w:val="Pt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style="position:absolute;margin-left:0;margin-top:.05pt;width:19.05pt;height:46.1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" stroked="f">
              <v:fill opacity="0"/>
              <v:textbox inset="0,0,0,0">
                <w:txbxContent>
                  <w:p w:rsidR="00E44D68" w:rsidRDefault="00E44D68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7691A">
                      <w:rPr>
                        <w:rStyle w:val="slostrany"/>
                        <w:noProof/>
                      </w:rPr>
                      <w:t>17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E44D68" w:rsidRDefault="00E44D68">
                    <w:pPr>
                      <w:pStyle w:val="Pta"/>
                      <w:jc w:val="center"/>
                    </w:pPr>
                  </w:p>
                  <w:p w:rsidR="00E44D68" w:rsidRDefault="00E44D68">
                    <w:pPr>
                      <w:pStyle w:val="Pta"/>
                    </w:pPr>
                  </w:p>
                  <w:p w:rsidR="00E44D68" w:rsidRDefault="00E44D68">
                    <w:pPr>
                      <w:pStyle w:val="Pt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68" w:rsidRDefault="00E44D68">
      <w:pPr>
        <w:spacing w:after="0" w:line="240" w:lineRule="auto"/>
      </w:pPr>
      <w:r>
        <w:separator/>
      </w:r>
    </w:p>
  </w:footnote>
  <w:footnote w:type="continuationSeparator" w:id="0">
    <w:p w:rsidR="00E44D68" w:rsidRDefault="00E4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68" w:rsidRDefault="00E44D68">
                          <w:pPr>
                            <w:pStyle w:val="Hlavi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0;margin-top:.05pt;width:1.1pt;height:11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" stroked="f">
              <v:fill opacity="0"/>
              <v:textbox inset="0,0,0,0">
                <w:txbxContent>
                  <w:p w:rsidR="00E44D68" w:rsidRDefault="00E44D68">
                    <w:pPr>
                      <w:pStyle w:val="Hlavi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68" w:rsidRDefault="00E44D68">
                          <w:pPr>
                            <w:pStyle w:val="Hlavi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0;margin-top:.05pt;width:1.1pt;height:11.4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" stroked="f">
              <v:fill opacity="0"/>
              <v:textbox inset="0,0,0,0">
                <w:txbxContent>
                  <w:p w:rsidR="00E44D68" w:rsidRDefault="00E44D68">
                    <w:pPr>
                      <w:pStyle w:val="Hlavi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68" w:rsidRDefault="00E44D68">
                          <w:pPr>
                            <w:pStyle w:val="Hlavi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style="position:absolute;margin-left:0;margin-top:.05pt;width:1.1pt;height:11.4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" stroked="f">
              <v:fill opacity="0"/>
              <v:textbox inset="0,0,0,0">
                <w:txbxContent>
                  <w:p w:rsidR="00E44D68" w:rsidRDefault="00E44D68">
                    <w:pPr>
                      <w:pStyle w:val="Hlavi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8" w:rsidRDefault="00E44D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8070A9DE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2A3577E0"/>
    <w:multiLevelType w:val="hybridMultilevel"/>
    <w:tmpl w:val="29EEDA6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4679D9"/>
    <w:multiLevelType w:val="hybridMultilevel"/>
    <w:tmpl w:val="BC6AE0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76F8E"/>
    <w:multiLevelType w:val="hybridMultilevel"/>
    <w:tmpl w:val="C42E9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B51"/>
    <w:multiLevelType w:val="hybridMultilevel"/>
    <w:tmpl w:val="4FF84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31F3"/>
    <w:multiLevelType w:val="multilevel"/>
    <w:tmpl w:val="02B4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LOKTzuPQ5j/nFjjvXLBnhtyK7sS3nOAq7wYXutq/67kLITu82iSAJPwu5VQPTJyW9++oQJCYgWpWTwUUcrPA==" w:salt="+DfZo0Zg2DO47H6/BGIT5Q==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10"/>
    <w:rsid w:val="000617D6"/>
    <w:rsid w:val="0007691A"/>
    <w:rsid w:val="00090D06"/>
    <w:rsid w:val="000B0C93"/>
    <w:rsid w:val="001B471C"/>
    <w:rsid w:val="00240D24"/>
    <w:rsid w:val="003332F8"/>
    <w:rsid w:val="003B5AEF"/>
    <w:rsid w:val="003B65FA"/>
    <w:rsid w:val="004709CD"/>
    <w:rsid w:val="004F2EDE"/>
    <w:rsid w:val="005E5292"/>
    <w:rsid w:val="00610634"/>
    <w:rsid w:val="0061543E"/>
    <w:rsid w:val="0062097B"/>
    <w:rsid w:val="00622D3F"/>
    <w:rsid w:val="006B5448"/>
    <w:rsid w:val="00703F52"/>
    <w:rsid w:val="00755EFE"/>
    <w:rsid w:val="007A5BC5"/>
    <w:rsid w:val="00825387"/>
    <w:rsid w:val="008C1ED5"/>
    <w:rsid w:val="008D71FA"/>
    <w:rsid w:val="00A22D10"/>
    <w:rsid w:val="00A97DB7"/>
    <w:rsid w:val="00B62421"/>
    <w:rsid w:val="00D06509"/>
    <w:rsid w:val="00D70845"/>
    <w:rsid w:val="00DB3A7D"/>
    <w:rsid w:val="00E0726E"/>
    <w:rsid w:val="00E44D68"/>
    <w:rsid w:val="00E96BE3"/>
    <w:rsid w:val="00ED42D3"/>
    <w:rsid w:val="00F21C64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A5BAB0-A64D-4B4B-83B4-D271B17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22D1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2D10"/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numbering" w:customStyle="1" w:styleId="Bezzoznamu1">
    <w:name w:val="Bez zoznamu1"/>
    <w:next w:val="Bezzoznamu"/>
    <w:semiHidden/>
    <w:rsid w:val="00A22D10"/>
  </w:style>
  <w:style w:type="character" w:customStyle="1" w:styleId="WW8Num2z0">
    <w:name w:val="WW8Num2z0"/>
    <w:rsid w:val="00A22D10"/>
    <w:rPr>
      <w:rFonts w:ascii="Times New Roman" w:hAnsi="Times New Roman" w:cs="Times New Roman"/>
    </w:rPr>
  </w:style>
  <w:style w:type="character" w:customStyle="1" w:styleId="WW8Num4z0">
    <w:name w:val="WW8Num4z0"/>
    <w:rsid w:val="00A22D10"/>
    <w:rPr>
      <w:rFonts w:ascii="Times New Roman" w:hAnsi="Times New Roman" w:cs="Times New Roman"/>
    </w:rPr>
  </w:style>
  <w:style w:type="character" w:customStyle="1" w:styleId="WW8Num5z0">
    <w:name w:val="WW8Num5z0"/>
    <w:rsid w:val="00A22D1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22D10"/>
    <w:rPr>
      <w:rFonts w:ascii="Times New Roman" w:hAnsi="Times New Roman" w:cs="Times New Roman"/>
    </w:rPr>
  </w:style>
  <w:style w:type="character" w:customStyle="1" w:styleId="WW8Num8z0">
    <w:name w:val="WW8Num8z0"/>
    <w:rsid w:val="00A22D10"/>
    <w:rPr>
      <w:rFonts w:ascii="Times New Roman" w:hAnsi="Times New Roman" w:cs="Times New Roman"/>
    </w:rPr>
  </w:style>
  <w:style w:type="character" w:customStyle="1" w:styleId="WW8Num9z0">
    <w:name w:val="WW8Num9z0"/>
    <w:rsid w:val="00A22D10"/>
    <w:rPr>
      <w:rFonts w:ascii="Times New Roman" w:hAnsi="Times New Roman" w:cs="Times New Roman"/>
    </w:rPr>
  </w:style>
  <w:style w:type="character" w:customStyle="1" w:styleId="WW8Num11z0">
    <w:name w:val="WW8Num11z0"/>
    <w:rsid w:val="00A22D10"/>
    <w:rPr>
      <w:rFonts w:ascii="Times New Roman" w:hAnsi="Times New Roman" w:cs="Times New Roman"/>
    </w:rPr>
  </w:style>
  <w:style w:type="character" w:customStyle="1" w:styleId="WW8Num14z0">
    <w:name w:val="WW8Num14z0"/>
    <w:rsid w:val="00A22D10"/>
    <w:rPr>
      <w:rFonts w:ascii="Symbol" w:hAnsi="Symbol"/>
    </w:rPr>
  </w:style>
  <w:style w:type="character" w:customStyle="1" w:styleId="WW8Num15z0">
    <w:name w:val="WW8Num15z0"/>
    <w:rsid w:val="00A22D10"/>
    <w:rPr>
      <w:rFonts w:ascii="Times New Roman" w:hAnsi="Times New Roman" w:cs="Times New Roman"/>
    </w:rPr>
  </w:style>
  <w:style w:type="character" w:customStyle="1" w:styleId="WW8Num15z1">
    <w:name w:val="WW8Num15z1"/>
    <w:rsid w:val="00A22D10"/>
    <w:rPr>
      <w:rFonts w:ascii="Courier New" w:hAnsi="Courier New" w:cs="Courier New"/>
    </w:rPr>
  </w:style>
  <w:style w:type="character" w:customStyle="1" w:styleId="WW8Num15z2">
    <w:name w:val="WW8Num15z2"/>
    <w:rsid w:val="00A22D10"/>
    <w:rPr>
      <w:rFonts w:ascii="Wingdings" w:hAnsi="Wingdings"/>
    </w:rPr>
  </w:style>
  <w:style w:type="character" w:customStyle="1" w:styleId="WW8Num15z3">
    <w:name w:val="WW8Num15z3"/>
    <w:rsid w:val="00A22D10"/>
    <w:rPr>
      <w:rFonts w:ascii="Symbol" w:hAnsi="Symbol"/>
    </w:rPr>
  </w:style>
  <w:style w:type="character" w:customStyle="1" w:styleId="Predvolenpsmoodseku2">
    <w:name w:val="Predvolené písmo odseku2"/>
    <w:rsid w:val="00A22D10"/>
  </w:style>
  <w:style w:type="character" w:customStyle="1" w:styleId="WW8Num5z1">
    <w:name w:val="WW8Num5z1"/>
    <w:rsid w:val="00A22D10"/>
    <w:rPr>
      <w:rFonts w:ascii="Courier New" w:hAnsi="Courier New" w:cs="Courier New"/>
    </w:rPr>
  </w:style>
  <w:style w:type="character" w:customStyle="1" w:styleId="WW8Num5z2">
    <w:name w:val="WW8Num5z2"/>
    <w:rsid w:val="00A22D10"/>
    <w:rPr>
      <w:rFonts w:ascii="Wingdings" w:hAnsi="Wingdings"/>
    </w:rPr>
  </w:style>
  <w:style w:type="character" w:customStyle="1" w:styleId="WW8Num5z3">
    <w:name w:val="WW8Num5z3"/>
    <w:rsid w:val="00A22D10"/>
    <w:rPr>
      <w:rFonts w:ascii="Symbol" w:hAnsi="Symbol"/>
    </w:rPr>
  </w:style>
  <w:style w:type="character" w:customStyle="1" w:styleId="WW8Num7z0">
    <w:name w:val="WW8Num7z0"/>
    <w:rsid w:val="00A22D1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22D10"/>
    <w:rPr>
      <w:rFonts w:ascii="Courier New" w:hAnsi="Courier New" w:cs="Courier New"/>
    </w:rPr>
  </w:style>
  <w:style w:type="character" w:customStyle="1" w:styleId="WW8Num7z2">
    <w:name w:val="WW8Num7z2"/>
    <w:rsid w:val="00A22D10"/>
    <w:rPr>
      <w:rFonts w:ascii="Wingdings" w:hAnsi="Wingdings"/>
    </w:rPr>
  </w:style>
  <w:style w:type="character" w:customStyle="1" w:styleId="WW8Num7z3">
    <w:name w:val="WW8Num7z3"/>
    <w:rsid w:val="00A22D10"/>
    <w:rPr>
      <w:rFonts w:ascii="Symbol" w:hAnsi="Symbol"/>
    </w:rPr>
  </w:style>
  <w:style w:type="character" w:customStyle="1" w:styleId="WW8Num10z0">
    <w:name w:val="WW8Num10z0"/>
    <w:rsid w:val="00A22D10"/>
    <w:rPr>
      <w:rFonts w:ascii="Times New Roman" w:hAnsi="Times New Roman" w:cs="Times New Roman"/>
    </w:rPr>
  </w:style>
  <w:style w:type="character" w:customStyle="1" w:styleId="WW8Num12z1">
    <w:name w:val="WW8Num12z1"/>
    <w:rsid w:val="00A22D10"/>
    <w:rPr>
      <w:rFonts w:ascii="Courier New" w:hAnsi="Courier New" w:cs="Courier New"/>
    </w:rPr>
  </w:style>
  <w:style w:type="character" w:customStyle="1" w:styleId="WW8Num12z2">
    <w:name w:val="WW8Num12z2"/>
    <w:rsid w:val="00A22D10"/>
    <w:rPr>
      <w:rFonts w:ascii="Wingdings" w:hAnsi="Wingdings"/>
    </w:rPr>
  </w:style>
  <w:style w:type="character" w:customStyle="1" w:styleId="WW8Num12z3">
    <w:name w:val="WW8Num12z3"/>
    <w:rsid w:val="00A22D10"/>
    <w:rPr>
      <w:rFonts w:ascii="Symbol" w:hAnsi="Symbol"/>
    </w:rPr>
  </w:style>
  <w:style w:type="character" w:customStyle="1" w:styleId="WW8Num13z0">
    <w:name w:val="WW8Num13z0"/>
    <w:rsid w:val="00A22D1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22D10"/>
    <w:rPr>
      <w:rFonts w:ascii="Courier New" w:hAnsi="Courier New" w:cs="Courier New"/>
    </w:rPr>
  </w:style>
  <w:style w:type="character" w:customStyle="1" w:styleId="WW8Num13z2">
    <w:name w:val="WW8Num13z2"/>
    <w:rsid w:val="00A22D10"/>
    <w:rPr>
      <w:rFonts w:ascii="Wingdings" w:hAnsi="Wingdings"/>
    </w:rPr>
  </w:style>
  <w:style w:type="character" w:customStyle="1" w:styleId="WW8Num13z3">
    <w:name w:val="WW8Num13z3"/>
    <w:rsid w:val="00A22D10"/>
    <w:rPr>
      <w:rFonts w:ascii="Symbol" w:hAnsi="Symbol"/>
    </w:rPr>
  </w:style>
  <w:style w:type="character" w:customStyle="1" w:styleId="WW8Num14z1">
    <w:name w:val="WW8Num14z1"/>
    <w:rsid w:val="00A22D10"/>
    <w:rPr>
      <w:rFonts w:ascii="Courier New" w:hAnsi="Courier New" w:cs="Courier New"/>
    </w:rPr>
  </w:style>
  <w:style w:type="character" w:customStyle="1" w:styleId="WW8Num14z2">
    <w:name w:val="WW8Num14z2"/>
    <w:rsid w:val="00A22D10"/>
    <w:rPr>
      <w:rFonts w:ascii="Wingdings" w:hAnsi="Wingdings"/>
    </w:rPr>
  </w:style>
  <w:style w:type="character" w:customStyle="1" w:styleId="WW8Num18z0">
    <w:name w:val="WW8Num18z0"/>
    <w:rsid w:val="00A22D10"/>
    <w:rPr>
      <w:rFonts w:ascii="Symbol" w:hAnsi="Symbol"/>
    </w:rPr>
  </w:style>
  <w:style w:type="character" w:customStyle="1" w:styleId="WW8Num18z1">
    <w:name w:val="WW8Num18z1"/>
    <w:rsid w:val="00A22D10"/>
    <w:rPr>
      <w:rFonts w:ascii="Courier New" w:hAnsi="Courier New" w:cs="Courier New"/>
    </w:rPr>
  </w:style>
  <w:style w:type="character" w:customStyle="1" w:styleId="WW8Num18z2">
    <w:name w:val="WW8Num18z2"/>
    <w:rsid w:val="00A22D10"/>
    <w:rPr>
      <w:rFonts w:ascii="Wingdings" w:hAnsi="Wingdings"/>
    </w:rPr>
  </w:style>
  <w:style w:type="character" w:customStyle="1" w:styleId="WW8Num19z0">
    <w:name w:val="WW8Num19z0"/>
    <w:rsid w:val="00A22D10"/>
    <w:rPr>
      <w:rFonts w:ascii="Symbol" w:hAnsi="Symbol"/>
    </w:rPr>
  </w:style>
  <w:style w:type="character" w:customStyle="1" w:styleId="WW8Num19z1">
    <w:name w:val="WW8Num19z1"/>
    <w:rsid w:val="00A22D10"/>
    <w:rPr>
      <w:rFonts w:ascii="Courier New" w:hAnsi="Courier New" w:cs="Courier New"/>
    </w:rPr>
  </w:style>
  <w:style w:type="character" w:customStyle="1" w:styleId="WW8Num19z2">
    <w:name w:val="WW8Num19z2"/>
    <w:rsid w:val="00A22D10"/>
    <w:rPr>
      <w:rFonts w:ascii="Wingdings" w:hAnsi="Wingdings"/>
    </w:rPr>
  </w:style>
  <w:style w:type="character" w:customStyle="1" w:styleId="WW8Num20z0">
    <w:name w:val="WW8Num20z0"/>
    <w:rsid w:val="00A22D10"/>
    <w:rPr>
      <w:rFonts w:ascii="Times New Roman" w:hAnsi="Times New Roman" w:cs="Times New Roman"/>
    </w:rPr>
  </w:style>
  <w:style w:type="character" w:customStyle="1" w:styleId="WW8Num21z0">
    <w:name w:val="WW8Num21z0"/>
    <w:rsid w:val="00A22D10"/>
    <w:rPr>
      <w:rFonts w:ascii="Times New Roman" w:hAnsi="Times New Roman" w:cs="Times New Roman"/>
    </w:rPr>
  </w:style>
  <w:style w:type="character" w:customStyle="1" w:styleId="WW8Num25z0">
    <w:name w:val="WW8Num25z0"/>
    <w:rsid w:val="00A22D1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22D10"/>
    <w:rPr>
      <w:rFonts w:ascii="Courier New" w:hAnsi="Courier New" w:cs="Courier New"/>
    </w:rPr>
  </w:style>
  <w:style w:type="character" w:customStyle="1" w:styleId="WW8Num25z2">
    <w:name w:val="WW8Num25z2"/>
    <w:rsid w:val="00A22D10"/>
    <w:rPr>
      <w:rFonts w:ascii="Wingdings" w:hAnsi="Wingdings"/>
    </w:rPr>
  </w:style>
  <w:style w:type="character" w:customStyle="1" w:styleId="WW8Num25z3">
    <w:name w:val="WW8Num25z3"/>
    <w:rsid w:val="00A22D10"/>
    <w:rPr>
      <w:rFonts w:ascii="Symbol" w:hAnsi="Symbol"/>
    </w:rPr>
  </w:style>
  <w:style w:type="character" w:customStyle="1" w:styleId="WW8Num28z0">
    <w:name w:val="WW8Num28z0"/>
    <w:rsid w:val="00A22D10"/>
    <w:rPr>
      <w:rFonts w:ascii="Times New Roman" w:hAnsi="Times New Roman" w:cs="Times New Roman"/>
    </w:rPr>
  </w:style>
  <w:style w:type="character" w:customStyle="1" w:styleId="WW8NumSt9z0">
    <w:name w:val="WW8NumSt9z0"/>
    <w:rsid w:val="00A22D10"/>
    <w:rPr>
      <w:rFonts w:ascii="Times New Roman" w:hAnsi="Times New Roman" w:cs="Times New Roman"/>
    </w:rPr>
  </w:style>
  <w:style w:type="character" w:customStyle="1" w:styleId="WW8NumSt10z0">
    <w:name w:val="WW8NumSt10z0"/>
    <w:rsid w:val="00A22D10"/>
    <w:rPr>
      <w:rFonts w:ascii="Times New Roman" w:hAnsi="Times New Roman" w:cs="Times New Roman"/>
    </w:rPr>
  </w:style>
  <w:style w:type="character" w:customStyle="1" w:styleId="Predvolenpsmoodseku1">
    <w:name w:val="Predvolené písmo odseku1"/>
    <w:rsid w:val="00A22D10"/>
  </w:style>
  <w:style w:type="character" w:styleId="slostrany">
    <w:name w:val="page number"/>
    <w:basedOn w:val="Predvolenpsmoodseku1"/>
    <w:rsid w:val="00A22D10"/>
  </w:style>
  <w:style w:type="paragraph" w:customStyle="1" w:styleId="Nadpis">
    <w:name w:val="Nadpis"/>
    <w:basedOn w:val="Normlny"/>
    <w:next w:val="Zkladntext"/>
    <w:rsid w:val="00A22D1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A22D1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22D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oznam">
    <w:name w:val="List"/>
    <w:basedOn w:val="Zkladntext"/>
    <w:rsid w:val="00A22D10"/>
    <w:rPr>
      <w:rFonts w:cs="Tahoma"/>
    </w:rPr>
  </w:style>
  <w:style w:type="paragraph" w:customStyle="1" w:styleId="Popisok">
    <w:name w:val="Popisok"/>
    <w:basedOn w:val="Normlny"/>
    <w:rsid w:val="00A22D10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A22D1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ta">
    <w:name w:val="footer"/>
    <w:basedOn w:val="Normlny"/>
    <w:link w:val="PtaChar"/>
    <w:rsid w:val="00A22D10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A22D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A22D10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A22D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rmca">
    <w:name w:val="Obsah rámca"/>
    <w:basedOn w:val="Zkladntext"/>
    <w:rsid w:val="00A22D10"/>
  </w:style>
  <w:style w:type="paragraph" w:customStyle="1" w:styleId="Obsahtabuky">
    <w:name w:val="Obsah tabuľky"/>
    <w:basedOn w:val="Normlny"/>
    <w:rsid w:val="00A22D1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A22D10"/>
    <w:pPr>
      <w:jc w:val="center"/>
    </w:pPr>
    <w:rPr>
      <w:b/>
      <w:bCs/>
    </w:rPr>
  </w:style>
  <w:style w:type="table" w:styleId="Mriekatabuky">
    <w:name w:val="Table Grid"/>
    <w:basedOn w:val="Normlnatabuka"/>
    <w:rsid w:val="00A22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2D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loriadka">
    <w:name w:val="line number"/>
    <w:basedOn w:val="Predvolenpsmoodseku"/>
    <w:rsid w:val="00A22D10"/>
  </w:style>
  <w:style w:type="character" w:styleId="Siln">
    <w:name w:val="Strong"/>
    <w:uiPriority w:val="22"/>
    <w:qFormat/>
    <w:rsid w:val="00A22D10"/>
    <w:rPr>
      <w:b/>
      <w:bCs/>
    </w:rPr>
  </w:style>
  <w:style w:type="paragraph" w:styleId="Normlnywebov">
    <w:name w:val="Normal (Web)"/>
    <w:basedOn w:val="Normlny"/>
    <w:uiPriority w:val="99"/>
    <w:unhideWhenUsed/>
    <w:rsid w:val="00A2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A22D10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2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22D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uiPriority w:val="99"/>
    <w:unhideWhenUsed/>
    <w:rsid w:val="00A22D10"/>
    <w:rPr>
      <w:vertAlign w:val="superscript"/>
    </w:rPr>
  </w:style>
  <w:style w:type="character" w:customStyle="1" w:styleId="apple-converted-space">
    <w:name w:val="apple-converted-space"/>
    <w:basedOn w:val="Predvolenpsmoodseku"/>
    <w:rsid w:val="00A22D10"/>
  </w:style>
  <w:style w:type="character" w:customStyle="1" w:styleId="st1">
    <w:name w:val="st1"/>
    <w:basedOn w:val="Predvolenpsmoodseku"/>
    <w:rsid w:val="00A22D10"/>
  </w:style>
  <w:style w:type="paragraph" w:styleId="Textbubliny">
    <w:name w:val="Balloon Text"/>
    <w:basedOn w:val="Normlny"/>
    <w:link w:val="TextbublinyChar"/>
    <w:rsid w:val="00A22D10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bublinyChar">
    <w:name w:val="Text bubliny Char"/>
    <w:basedOn w:val="Predvolenpsmoodseku"/>
    <w:link w:val="Textbubliny"/>
    <w:rsid w:val="00A22D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259D-F29D-46AE-A62D-3E3A7C27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23</Pages>
  <Words>7400</Words>
  <Characters>42184</Characters>
  <Application>Microsoft Office Word</Application>
  <DocSecurity>8</DocSecurity>
  <Lines>351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Najvyššieho súdu SR</Company>
  <LinksUpToDate>false</LinksUpToDate>
  <CharactersWithSpaces>49486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Miriam</dc:creator>
  <cp:keywords/>
  <dc:description/>
  <cp:lastModifiedBy>SEDLÁČKOVÁ Miriam</cp:lastModifiedBy>
  <cp:revision>12</cp:revision>
  <cp:lastPrinted>2018-04-09T12:10:00Z</cp:lastPrinted>
  <dcterms:created xsi:type="dcterms:W3CDTF">2018-03-26T14:15:00Z</dcterms:created>
  <dcterms:modified xsi:type="dcterms:W3CDTF">2018-05-09T08:01:00Z</dcterms:modified>
</cp:coreProperties>
</file>